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Default Extension="pdf" ContentType="application/pdf"/>
  <Override PartName="/word/webSettings.xml" ContentType="application/vnd.openxmlformats-officedocument.wordprocessingml.webSettings+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tyles.xml" ContentType="application/vnd.openxmlformats-officedocument.wordprocessingml.styles+xml"/>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C07" w:rsidRDefault="000B731B" w:rsidP="0016665A">
      <w:pPr>
        <w:jc w:val="center"/>
        <w:rPr>
          <w:rFonts w:asciiTheme="majorEastAsia" w:eastAsiaTheme="majorEastAsia" w:hAnsiTheme="majorEastAsia" w:cs="Helvetica" w:hint="eastAsia"/>
          <w:b/>
          <w:bCs/>
          <w:color w:val="000000"/>
          <w:sz w:val="24"/>
        </w:rPr>
      </w:pPr>
      <w:r>
        <w:rPr>
          <w:rFonts w:asciiTheme="majorEastAsia" w:eastAsiaTheme="majorEastAsia" w:hAnsiTheme="majorEastAsia" w:cs="Helvetica" w:hint="eastAsia"/>
          <w:b/>
          <w:bCs/>
          <w:color w:val="000000"/>
          <w:sz w:val="24"/>
        </w:rPr>
        <w:t>高速制御型光コム及び</w:t>
      </w:r>
      <w:r w:rsidR="000C4C07">
        <w:rPr>
          <w:rFonts w:asciiTheme="majorEastAsia" w:eastAsiaTheme="majorEastAsia" w:hAnsiTheme="majorEastAsia" w:cs="Helvetica" w:hint="eastAsia"/>
          <w:b/>
          <w:bCs/>
          <w:color w:val="000000"/>
          <w:sz w:val="24"/>
        </w:rPr>
        <w:t>センシング光コムに関する研究報告</w:t>
      </w:r>
    </w:p>
    <w:p w:rsidR="00CF1246" w:rsidRDefault="00CF1246" w:rsidP="0016665A">
      <w:pPr>
        <w:jc w:val="center"/>
        <w:rPr>
          <w:rFonts w:asciiTheme="majorEastAsia" w:eastAsiaTheme="majorEastAsia" w:hAnsiTheme="majorEastAsia"/>
          <w:sz w:val="24"/>
        </w:rPr>
      </w:pPr>
    </w:p>
    <w:p w:rsidR="00CF1246" w:rsidRDefault="00CF1246" w:rsidP="00CF1246">
      <w:pPr>
        <w:rPr>
          <w:rFonts w:asciiTheme="majorEastAsia" w:eastAsiaTheme="majorEastAsia" w:hAnsiTheme="majorEastAsia"/>
          <w:sz w:val="24"/>
        </w:rPr>
      </w:pPr>
      <w:r>
        <w:rPr>
          <w:rFonts w:asciiTheme="majorEastAsia" w:eastAsiaTheme="majorEastAsia" w:hAnsiTheme="majorEastAsia" w:cs="Helvetica" w:hint="eastAsia"/>
          <w:b/>
          <w:bCs/>
          <w:color w:val="000000"/>
          <w:sz w:val="24"/>
        </w:rPr>
        <w:t>・高速制御型コム</w:t>
      </w:r>
    </w:p>
    <w:p w:rsidR="00CF1246" w:rsidRPr="0016665A" w:rsidRDefault="00CF1246" w:rsidP="00CF1246">
      <w:pPr>
        <w:pStyle w:val="ab"/>
        <w:numPr>
          <w:ilvl w:val="0"/>
          <w:numId w:val="8"/>
        </w:numPr>
        <w:ind w:leftChars="0"/>
        <w:rPr>
          <w:rFonts w:asciiTheme="majorEastAsia" w:eastAsiaTheme="majorEastAsia" w:hAnsiTheme="majorEastAsia"/>
          <w:b/>
          <w:sz w:val="24"/>
        </w:rPr>
      </w:pPr>
      <w:r w:rsidRPr="0016665A">
        <w:rPr>
          <w:rFonts w:asciiTheme="majorEastAsia" w:eastAsiaTheme="majorEastAsia" w:hAnsiTheme="majorEastAsia" w:hint="eastAsia"/>
          <w:b/>
          <w:sz w:val="24"/>
        </w:rPr>
        <w:t>イントロダクション</w:t>
      </w:r>
    </w:p>
    <w:p w:rsidR="00CF1246" w:rsidRPr="000B731B" w:rsidRDefault="000B731B" w:rsidP="000B731B">
      <w:pPr>
        <w:rPr>
          <w:rFonts w:asciiTheme="minorEastAsia" w:hAnsiTheme="minorEastAsia" w:hint="eastAsia"/>
          <w:sz w:val="24"/>
        </w:rPr>
      </w:pPr>
      <w:r>
        <w:rPr>
          <w:rFonts w:asciiTheme="minorEastAsia" w:hAnsiTheme="minorEastAsia" w:hint="eastAsia"/>
          <w:sz w:val="24"/>
        </w:rPr>
        <w:t xml:space="preserve">　</w:t>
      </w:r>
      <w:r w:rsidRPr="000B731B">
        <w:rPr>
          <w:rFonts w:asciiTheme="minorEastAsia" w:hAnsiTheme="minorEastAsia" w:hint="eastAsia"/>
          <w:sz w:val="24"/>
        </w:rPr>
        <w:t>光コムが誕生して以降、時間領域と周波数領域の特性を活かした各種応用計測</w:t>
      </w:r>
      <w:r>
        <w:rPr>
          <w:rFonts w:asciiTheme="minorEastAsia" w:hAnsiTheme="minorEastAsia" w:hint="eastAsia"/>
          <w:sz w:val="24"/>
        </w:rPr>
        <w:t>に関する研究が加速している</w:t>
      </w:r>
      <w:r>
        <w:rPr>
          <w:rFonts w:asciiTheme="minorEastAsia" w:hAnsiTheme="minorEastAsia"/>
          <w:sz w:val="24"/>
        </w:rPr>
        <w:t>[1.2].</w:t>
      </w:r>
      <w:r>
        <w:rPr>
          <w:rFonts w:asciiTheme="minorEastAsia" w:hAnsiTheme="minorEastAsia" w:hint="eastAsia"/>
          <w:sz w:val="24"/>
        </w:rPr>
        <w:t>しかし、更なる応用計測研究を加速するためには、高品位な光コム光源の開発が必要とされる。そこで、電気通信大学　美濃島研究室へ出向し、高速制御型光コムの開発を行った。</w:t>
      </w:r>
      <w:r w:rsidR="00CF1246" w:rsidRPr="000B731B">
        <w:rPr>
          <w:rFonts w:asciiTheme="minorEastAsia" w:hAnsiTheme="minorEastAsia" w:hint="eastAsia"/>
          <w:sz w:val="24"/>
        </w:rPr>
        <w:t>以下に実施内容を示す。</w:t>
      </w:r>
    </w:p>
    <w:p w:rsidR="00CF1246" w:rsidRPr="000B731B" w:rsidRDefault="00CF1246" w:rsidP="000B731B">
      <w:pPr>
        <w:rPr>
          <w:rFonts w:asciiTheme="minorEastAsia" w:hAnsiTheme="minorEastAsia" w:hint="eastAsia"/>
          <w:sz w:val="24"/>
        </w:rPr>
      </w:pPr>
      <w:r w:rsidRPr="000B731B">
        <w:rPr>
          <w:rFonts w:asciiTheme="minorEastAsia" w:hAnsiTheme="minorEastAsia" w:hint="eastAsia"/>
          <w:sz w:val="24"/>
        </w:rPr>
        <w:t>・ 光コム共振器の設計</w:t>
      </w:r>
    </w:p>
    <w:p w:rsidR="00CF1246" w:rsidRPr="000B731B" w:rsidRDefault="00CF1246" w:rsidP="000B731B">
      <w:pPr>
        <w:rPr>
          <w:rFonts w:asciiTheme="minorEastAsia" w:hAnsiTheme="minorEastAsia" w:hint="eastAsia"/>
          <w:sz w:val="24"/>
        </w:rPr>
      </w:pPr>
      <w:r w:rsidRPr="000B731B">
        <w:rPr>
          <w:rFonts w:asciiTheme="minorEastAsia" w:hAnsiTheme="minorEastAsia" w:hint="eastAsia"/>
          <w:sz w:val="24"/>
        </w:rPr>
        <w:t>・ 光コム共振器の製作</w:t>
      </w:r>
    </w:p>
    <w:p w:rsidR="00CF1246" w:rsidRPr="000B731B" w:rsidRDefault="00CF1246" w:rsidP="000B731B">
      <w:pPr>
        <w:rPr>
          <w:rFonts w:asciiTheme="minorEastAsia" w:hAnsiTheme="minorEastAsia" w:hint="eastAsia"/>
          <w:sz w:val="24"/>
        </w:rPr>
      </w:pPr>
      <w:r w:rsidRPr="000B731B">
        <w:rPr>
          <w:rFonts w:asciiTheme="minorEastAsia" w:hAnsiTheme="minorEastAsia" w:hint="eastAsia"/>
          <w:sz w:val="24"/>
        </w:rPr>
        <w:t>・ 共振器の出力光を増幅するため、エルビウムドープトファイバー増幅器(EDFA)を製作</w:t>
      </w:r>
    </w:p>
    <w:p w:rsidR="000B731B" w:rsidRPr="000B731B" w:rsidRDefault="00CF1246" w:rsidP="000B731B">
      <w:pPr>
        <w:pStyle w:val="ab"/>
        <w:numPr>
          <w:ilvl w:val="0"/>
          <w:numId w:val="11"/>
        </w:numPr>
        <w:ind w:leftChars="0"/>
        <w:rPr>
          <w:rFonts w:asciiTheme="minorEastAsia" w:hAnsiTheme="minorEastAsia" w:hint="eastAsia"/>
          <w:sz w:val="24"/>
        </w:rPr>
      </w:pPr>
      <w:r w:rsidRPr="000B731B">
        <w:rPr>
          <w:rFonts w:asciiTheme="minorEastAsia" w:hAnsiTheme="minorEastAsia" w:hint="eastAsia"/>
          <w:sz w:val="24"/>
        </w:rPr>
        <w:t>EDFA後の出力光を高非線形ファイバーへ入力し、広帯域光(1000nm~2000nm)を発生</w:t>
      </w:r>
    </w:p>
    <w:p w:rsidR="000B731B" w:rsidRDefault="000B731B" w:rsidP="000B731B">
      <w:pPr>
        <w:pStyle w:val="ab"/>
        <w:numPr>
          <w:ilvl w:val="0"/>
          <w:numId w:val="11"/>
        </w:numPr>
        <w:ind w:leftChars="0"/>
        <w:rPr>
          <w:rFonts w:asciiTheme="minorEastAsia" w:hAnsiTheme="minorEastAsia" w:hint="eastAsia"/>
          <w:sz w:val="24"/>
        </w:rPr>
      </w:pPr>
      <w:r>
        <w:rPr>
          <w:rFonts w:asciiTheme="minorEastAsia" w:hAnsiTheme="minorEastAsia"/>
          <w:sz w:val="24"/>
        </w:rPr>
        <w:t>f-2f</w:t>
      </w:r>
      <w:r>
        <w:rPr>
          <w:rFonts w:asciiTheme="minorEastAsia" w:hAnsiTheme="minorEastAsia" w:hint="eastAsia"/>
          <w:sz w:val="24"/>
        </w:rPr>
        <w:t>干渉系を構築し、</w:t>
      </w:r>
      <w:r>
        <w:rPr>
          <w:rFonts w:asciiTheme="minorEastAsia" w:hAnsiTheme="minorEastAsia"/>
          <w:sz w:val="24"/>
        </w:rPr>
        <w:t>fceo</w:t>
      </w:r>
      <w:r>
        <w:rPr>
          <w:rFonts w:asciiTheme="minorEastAsia" w:hAnsiTheme="minorEastAsia" w:hint="eastAsia"/>
          <w:sz w:val="24"/>
        </w:rPr>
        <w:t>信号の検出および制御</w:t>
      </w:r>
    </w:p>
    <w:p w:rsidR="00CF1246" w:rsidRPr="000B731B" w:rsidRDefault="000B731B" w:rsidP="000B731B">
      <w:pPr>
        <w:pStyle w:val="ab"/>
        <w:numPr>
          <w:ilvl w:val="0"/>
          <w:numId w:val="11"/>
        </w:numPr>
        <w:ind w:leftChars="0"/>
        <w:rPr>
          <w:rFonts w:asciiTheme="minorEastAsia" w:hAnsiTheme="minorEastAsia" w:hint="eastAsia"/>
          <w:sz w:val="24"/>
        </w:rPr>
      </w:pPr>
      <w:r>
        <w:rPr>
          <w:rFonts w:asciiTheme="minorEastAsia" w:hAnsiTheme="minorEastAsia"/>
          <w:sz w:val="24"/>
        </w:rPr>
        <w:t>fbeat</w:t>
      </w:r>
      <w:r>
        <w:rPr>
          <w:rFonts w:asciiTheme="minorEastAsia" w:hAnsiTheme="minorEastAsia" w:hint="eastAsia"/>
          <w:sz w:val="24"/>
        </w:rPr>
        <w:t>信号の検出及び制御</w:t>
      </w:r>
    </w:p>
    <w:p w:rsidR="00CF1246" w:rsidRDefault="00CF1246" w:rsidP="000B731B">
      <w:pPr>
        <w:rPr>
          <w:rFonts w:asciiTheme="majorEastAsia" w:eastAsiaTheme="majorEastAsia" w:hAnsiTheme="majorEastAsia"/>
          <w:sz w:val="24"/>
        </w:rPr>
      </w:pPr>
    </w:p>
    <w:p w:rsidR="000B731B" w:rsidRPr="0016665A" w:rsidRDefault="000B731B" w:rsidP="000B731B">
      <w:pPr>
        <w:pStyle w:val="ab"/>
        <w:numPr>
          <w:ilvl w:val="0"/>
          <w:numId w:val="8"/>
        </w:numPr>
        <w:ind w:leftChars="0"/>
        <w:rPr>
          <w:rFonts w:asciiTheme="majorEastAsia" w:eastAsiaTheme="majorEastAsia" w:hAnsiTheme="majorEastAsia"/>
          <w:b/>
          <w:sz w:val="24"/>
        </w:rPr>
      </w:pPr>
      <w:r>
        <w:rPr>
          <w:rFonts w:asciiTheme="majorEastAsia" w:eastAsiaTheme="majorEastAsia" w:hAnsiTheme="majorEastAsia" w:hint="eastAsia"/>
          <w:b/>
          <w:sz w:val="24"/>
        </w:rPr>
        <w:t>光コム共振器の設計および製作</w:t>
      </w:r>
    </w:p>
    <w:p w:rsidR="003F71B6" w:rsidRDefault="000B731B" w:rsidP="000B731B">
      <w:pPr>
        <w:rPr>
          <w:rFonts w:asciiTheme="minorEastAsia" w:hAnsiTheme="minorEastAsia" w:hint="eastAsia"/>
          <w:sz w:val="24"/>
        </w:rPr>
      </w:pPr>
      <w:r w:rsidRPr="000B731B">
        <w:rPr>
          <w:rFonts w:asciiTheme="minorEastAsia" w:hAnsiTheme="minorEastAsia" w:hint="eastAsia"/>
          <w:sz w:val="24"/>
        </w:rPr>
        <w:t xml:space="preserve">　</w:t>
      </w:r>
      <w:r>
        <w:rPr>
          <w:rFonts w:asciiTheme="minorEastAsia" w:hAnsiTheme="minorEastAsia" w:hint="eastAsia"/>
          <w:sz w:val="24"/>
        </w:rPr>
        <w:t>表</w:t>
      </w:r>
      <w:r>
        <w:rPr>
          <w:rFonts w:asciiTheme="minorEastAsia" w:hAnsiTheme="minorEastAsia"/>
          <w:sz w:val="24"/>
        </w:rPr>
        <w:t>1</w:t>
      </w:r>
      <w:r>
        <w:rPr>
          <w:rFonts w:asciiTheme="minorEastAsia" w:hAnsiTheme="minorEastAsia" w:hint="eastAsia"/>
          <w:sz w:val="24"/>
        </w:rPr>
        <w:t>に今回設計した共振器パラメータを示す。共振器の繰り返し周波数は、</w:t>
      </w:r>
      <w:r>
        <w:rPr>
          <w:rFonts w:asciiTheme="minorEastAsia" w:hAnsiTheme="minorEastAsia"/>
          <w:sz w:val="24"/>
        </w:rPr>
        <w:t>Menlo</w:t>
      </w:r>
      <w:r>
        <w:rPr>
          <w:rFonts w:asciiTheme="minorEastAsia" w:hAnsiTheme="minorEastAsia" w:hint="eastAsia"/>
          <w:sz w:val="24"/>
        </w:rPr>
        <w:t>光コムとのデュアル光コム化を考え、</w:t>
      </w:r>
      <w:r>
        <w:rPr>
          <w:rFonts w:asciiTheme="minorEastAsia" w:hAnsiTheme="minorEastAsia"/>
          <w:sz w:val="24"/>
        </w:rPr>
        <w:t>100MHz</w:t>
      </w:r>
      <w:r>
        <w:rPr>
          <w:rFonts w:asciiTheme="minorEastAsia" w:hAnsiTheme="minorEastAsia" w:hint="eastAsia"/>
          <w:sz w:val="24"/>
        </w:rPr>
        <w:t>とした。また、共振器トータル分散値を</w:t>
      </w:r>
      <w:r>
        <w:rPr>
          <w:rFonts w:asciiTheme="minorEastAsia" w:hAnsiTheme="minorEastAsia"/>
          <w:sz w:val="24"/>
        </w:rPr>
        <w:t>0</w:t>
      </w:r>
      <w:r>
        <w:rPr>
          <w:rFonts w:asciiTheme="minorEastAsia" w:hAnsiTheme="minorEastAsia" w:hint="eastAsia"/>
          <w:sz w:val="24"/>
        </w:rPr>
        <w:t>付近にすることで、</w:t>
      </w:r>
      <w:r>
        <w:rPr>
          <w:rFonts w:asciiTheme="minorEastAsia" w:hAnsiTheme="minorEastAsia"/>
          <w:sz w:val="24"/>
        </w:rPr>
        <w:t>fceo</w:t>
      </w:r>
      <w:r>
        <w:rPr>
          <w:rFonts w:asciiTheme="minorEastAsia" w:hAnsiTheme="minorEastAsia" w:hint="eastAsia"/>
          <w:sz w:val="24"/>
        </w:rPr>
        <w:t>信号の狭線幅化を狙った。図</w:t>
      </w:r>
      <w:r>
        <w:rPr>
          <w:rFonts w:asciiTheme="minorEastAsia" w:hAnsiTheme="minorEastAsia"/>
          <w:sz w:val="24"/>
        </w:rPr>
        <w:t>1</w:t>
      </w:r>
      <w:r>
        <w:rPr>
          <w:rFonts w:asciiTheme="minorEastAsia" w:hAnsiTheme="minorEastAsia" w:hint="eastAsia"/>
          <w:sz w:val="24"/>
        </w:rPr>
        <w:t>に製作した共振器の概略図を示す。</w:t>
      </w:r>
    </w:p>
    <w:p w:rsidR="000B731B" w:rsidRDefault="003F71B6" w:rsidP="000B731B">
      <w:pPr>
        <w:rPr>
          <w:rFonts w:asciiTheme="minorEastAsia" w:hAnsiTheme="minorEastAsia" w:hint="eastAsia"/>
          <w:sz w:val="24"/>
        </w:rPr>
      </w:pPr>
      <w:r>
        <w:rPr>
          <w:rFonts w:asciiTheme="minorEastAsia" w:hAnsiTheme="minorEastAsia" w:hint="eastAsia"/>
          <w:sz w:val="24"/>
        </w:rPr>
        <w:t>また、図</w:t>
      </w:r>
      <w:r>
        <w:rPr>
          <w:rFonts w:asciiTheme="minorEastAsia" w:hAnsiTheme="minorEastAsia"/>
          <w:sz w:val="24"/>
        </w:rPr>
        <w:t>2</w:t>
      </w:r>
      <w:r>
        <w:rPr>
          <w:rFonts w:asciiTheme="minorEastAsia" w:hAnsiTheme="minorEastAsia" w:hint="eastAsia"/>
          <w:sz w:val="24"/>
        </w:rPr>
        <w:t>に、共振器により発せられる光を、光スペクトラム・アナライザーで計測した結果を示す。スペクトル半値幅は</w:t>
      </w:r>
      <w:r>
        <w:rPr>
          <w:rFonts w:asciiTheme="minorEastAsia" w:hAnsiTheme="minorEastAsia"/>
          <w:sz w:val="24"/>
        </w:rPr>
        <w:t>28.9nm</w:t>
      </w:r>
      <w:r>
        <w:rPr>
          <w:rFonts w:asciiTheme="minorEastAsia" w:hAnsiTheme="minorEastAsia" w:hint="eastAsia"/>
          <w:sz w:val="24"/>
        </w:rPr>
        <w:t>となった。既に電気通信大学で製作された光コムと比較すると、スペクトル半値幅が広い。</w:t>
      </w:r>
    </w:p>
    <w:p w:rsidR="000B731B" w:rsidRDefault="000B731B" w:rsidP="000B731B">
      <w:pPr>
        <w:rPr>
          <w:rFonts w:asciiTheme="minorEastAsia" w:hAnsiTheme="minorEastAsia" w:hint="eastAsia"/>
          <w:sz w:val="24"/>
        </w:rPr>
      </w:pPr>
    </w:p>
    <w:p w:rsidR="000B731B" w:rsidRPr="000B731B" w:rsidRDefault="000B731B" w:rsidP="000B731B">
      <w:pPr>
        <w:jc w:val="center"/>
        <w:rPr>
          <w:rFonts w:asciiTheme="minorEastAsia" w:hAnsiTheme="minorEastAsia" w:hint="eastAsia"/>
          <w:sz w:val="24"/>
        </w:rPr>
      </w:pPr>
      <w:r>
        <w:rPr>
          <w:rFonts w:asciiTheme="minorEastAsia" w:hAnsiTheme="minorEastAsia" w:cs="ＭＳ Ｐゴシック" w:hint="eastAsia"/>
          <w:color w:val="0E0E0E"/>
          <w:sz w:val="24"/>
          <w:szCs w:val="32"/>
        </w:rPr>
        <w:t>表</w:t>
      </w:r>
      <w:r>
        <w:rPr>
          <w:rFonts w:asciiTheme="minorEastAsia" w:hAnsiTheme="minorEastAsia" w:cs="ＭＳ Ｐゴシック"/>
          <w:color w:val="0E0E0E"/>
          <w:sz w:val="24"/>
          <w:szCs w:val="32"/>
        </w:rPr>
        <w:t xml:space="preserve">1 </w:t>
      </w:r>
      <w:r>
        <w:rPr>
          <w:rFonts w:asciiTheme="minorEastAsia" w:hAnsiTheme="minorEastAsia" w:cs="ＭＳ Ｐゴシック" w:hint="eastAsia"/>
          <w:color w:val="0E0E0E"/>
          <w:sz w:val="24"/>
          <w:szCs w:val="32"/>
        </w:rPr>
        <w:t>共振器条件</w:t>
      </w:r>
    </w:p>
    <w:p w:rsidR="000B731B" w:rsidRDefault="000B731B" w:rsidP="000B731B">
      <w:pPr>
        <w:rPr>
          <w:rFonts w:asciiTheme="minorEastAsia" w:hAnsiTheme="minorEastAsia"/>
          <w:sz w:val="24"/>
        </w:rPr>
      </w:pPr>
      <w:r w:rsidRPr="000B731B">
        <w:rPr>
          <w:rFonts w:asciiTheme="minorEastAsia" w:hAnsiTheme="minorEastAsia" w:hint="eastAsia"/>
          <w:sz w:val="24"/>
        </w:rPr>
        <w:drawing>
          <wp:inline distT="0" distB="0" distL="0" distR="0">
            <wp:extent cx="6120130" cy="1505552"/>
            <wp:effectExtent l="25400" t="0" r="127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6120130" cy="1505552"/>
                    </a:xfrm>
                    <a:prstGeom prst="rect">
                      <a:avLst/>
                    </a:prstGeom>
                    <a:noFill/>
                    <a:ln w="9525">
                      <a:noFill/>
                      <a:miter lim="800000"/>
                      <a:headEnd/>
                      <a:tailEnd/>
                    </a:ln>
                  </pic:spPr>
                </pic:pic>
              </a:graphicData>
            </a:graphic>
          </wp:inline>
        </w:drawing>
      </w:r>
    </w:p>
    <w:p w:rsidR="000B731B" w:rsidRDefault="000B731B" w:rsidP="000B731B">
      <w:pPr>
        <w:jc w:val="center"/>
        <w:rPr>
          <w:rFonts w:asciiTheme="minorEastAsia" w:hAnsiTheme="minorEastAsia" w:hint="eastAsia"/>
          <w:sz w:val="24"/>
        </w:rPr>
      </w:pPr>
      <w:r w:rsidRPr="000B731B">
        <w:rPr>
          <w:rFonts w:asciiTheme="minorEastAsia" w:hAnsiTheme="minorEastAsia"/>
          <w:sz w:val="24"/>
        </w:rPr>
        <w:drawing>
          <wp:inline distT="0" distB="0" distL="0" distR="0">
            <wp:extent cx="2412566" cy="2218856"/>
            <wp:effectExtent l="25400" t="0" r="434" b="0"/>
            <wp:docPr id="8" name=" 6"/>
            <wp:cNvGraphicFramePr/>
            <a:graphic xmlns:a="http://schemas.openxmlformats.org/drawingml/2006/main">
              <a:graphicData uri="http://schemas.openxmlformats.org/drawingml/2006/picture">
                <pic:pic xmlns:pic="http://schemas.openxmlformats.org/drawingml/2006/picture">
                  <pic:nvPicPr>
                    <pic:cNvPr id="0" name="図 74"/>
                    <pic:cNvPicPr>
                      <a:picLocks noChangeAspect="1"/>
                    </pic:cNvPicPr>
                  </pic:nvPicPr>
                  <pic:blipFill>
                    <a:blip r:embed="rId8"/>
                    <a:stretch>
                      <a:fillRect/>
                    </a:stretch>
                  </pic:blipFill>
                  <pic:spPr>
                    <a:xfrm>
                      <a:off x="0" y="0"/>
                      <a:ext cx="2413935" cy="2220115"/>
                    </a:xfrm>
                    <a:prstGeom prst="rect">
                      <a:avLst/>
                    </a:prstGeom>
                  </pic:spPr>
                </pic:pic>
              </a:graphicData>
            </a:graphic>
          </wp:inline>
        </w:drawing>
      </w:r>
      <w:r>
        <w:rPr>
          <w:rFonts w:asciiTheme="minorEastAsia" w:hAnsiTheme="minorEastAsia"/>
          <w:sz w:val="24"/>
        </w:rPr>
        <w:t xml:space="preserve">      </w:t>
      </w:r>
      <w:r w:rsidRPr="000B731B">
        <w:rPr>
          <w:rFonts w:asciiTheme="minorEastAsia" w:hAnsiTheme="minorEastAsia"/>
          <w:sz w:val="24"/>
        </w:rPr>
        <w:drawing>
          <wp:inline distT="0" distB="0" distL="0" distR="0">
            <wp:extent cx="2070148" cy="1951714"/>
            <wp:effectExtent l="25400" t="0" r="12652" b="0"/>
            <wp:docPr id="10" name=" 9" descr="USB DISK:0417:LDカレント 297mA.tif"/>
            <wp:cNvGraphicFramePr/>
            <a:graphic xmlns:a="http://schemas.openxmlformats.org/drawingml/2006/main">
              <a:graphicData uri="http://schemas.openxmlformats.org/drawingml/2006/picture">
                <pic:pic xmlns:pic="http://schemas.openxmlformats.org/drawingml/2006/picture">
                  <pic:nvPicPr>
                    <pic:cNvPr id="0" name="図 72" descr="USB DISK:0417:LDカレント 297mA.tif"/>
                    <pic:cNvPicPr/>
                  </pic:nvPicPr>
                  <pic:blipFill>
                    <a:blip r:embed="rId9"/>
                    <a:srcRect/>
                    <a:stretch>
                      <a:fillRect/>
                    </a:stretch>
                  </pic:blipFill>
                  <pic:spPr bwMode="auto">
                    <a:xfrm>
                      <a:off x="0" y="0"/>
                      <a:ext cx="2075440" cy="1956703"/>
                    </a:xfrm>
                    <a:prstGeom prst="rect">
                      <a:avLst/>
                    </a:prstGeom>
                    <a:noFill/>
                    <a:ln w="9525">
                      <a:noFill/>
                      <a:miter lim="800000"/>
                      <a:headEnd/>
                      <a:tailEnd/>
                    </a:ln>
                  </pic:spPr>
                </pic:pic>
              </a:graphicData>
            </a:graphic>
          </wp:inline>
        </w:drawing>
      </w:r>
    </w:p>
    <w:p w:rsidR="000B731B" w:rsidRDefault="003F71B6" w:rsidP="000B731B">
      <w:pPr>
        <w:jc w:val="center"/>
        <w:rPr>
          <w:rFonts w:asciiTheme="minorEastAsia" w:hAnsiTheme="minorEastAsia"/>
          <w:sz w:val="24"/>
        </w:rPr>
      </w:pPr>
      <w:r>
        <w:rPr>
          <w:rFonts w:asciiTheme="minorEastAsia" w:hAnsiTheme="minorEastAsia" w:hint="eastAsia"/>
          <w:sz w:val="24"/>
        </w:rPr>
        <w:t>図</w:t>
      </w:r>
      <w:r>
        <w:rPr>
          <w:rFonts w:asciiTheme="minorEastAsia" w:hAnsiTheme="minorEastAsia"/>
          <w:sz w:val="24"/>
        </w:rPr>
        <w:t xml:space="preserve">2 </w:t>
      </w:r>
      <w:r>
        <w:rPr>
          <w:rFonts w:asciiTheme="minorEastAsia" w:hAnsiTheme="minorEastAsia" w:hint="eastAsia"/>
          <w:sz w:val="24"/>
        </w:rPr>
        <w:t>共振器概略図　　　　　　　　　　　　図3　スペクトル波形</w:t>
      </w:r>
    </w:p>
    <w:p w:rsidR="000B731B" w:rsidRDefault="000B731B" w:rsidP="000B731B">
      <w:pPr>
        <w:rPr>
          <w:rFonts w:asciiTheme="minorEastAsia" w:hAnsiTheme="minorEastAsia" w:hint="eastAsia"/>
          <w:sz w:val="24"/>
        </w:rPr>
      </w:pPr>
    </w:p>
    <w:p w:rsidR="003F71B6" w:rsidRPr="0016665A" w:rsidRDefault="003F71B6" w:rsidP="003F71B6">
      <w:pPr>
        <w:pStyle w:val="ab"/>
        <w:numPr>
          <w:ilvl w:val="0"/>
          <w:numId w:val="8"/>
        </w:numPr>
        <w:ind w:leftChars="0"/>
        <w:rPr>
          <w:rFonts w:asciiTheme="majorEastAsia" w:eastAsiaTheme="majorEastAsia" w:hAnsiTheme="majorEastAsia"/>
          <w:b/>
          <w:sz w:val="24"/>
        </w:rPr>
      </w:pPr>
      <w:r>
        <w:rPr>
          <w:rFonts w:asciiTheme="majorEastAsia" w:eastAsiaTheme="majorEastAsia" w:hAnsiTheme="majorEastAsia"/>
          <w:b/>
          <w:sz w:val="24"/>
        </w:rPr>
        <w:t>EDFA</w:t>
      </w:r>
      <w:r>
        <w:rPr>
          <w:rFonts w:asciiTheme="majorEastAsia" w:eastAsiaTheme="majorEastAsia" w:hAnsiTheme="majorEastAsia" w:hint="eastAsia"/>
          <w:b/>
          <w:sz w:val="24"/>
        </w:rPr>
        <w:t>およびスーパーコンティニューム光の発生</w:t>
      </w:r>
    </w:p>
    <w:p w:rsidR="000B731B" w:rsidRDefault="003F71B6" w:rsidP="000B731B">
      <w:pPr>
        <w:rPr>
          <w:rFonts w:asciiTheme="minorEastAsia" w:hAnsiTheme="minorEastAsia" w:hint="eastAsia"/>
          <w:sz w:val="24"/>
        </w:rPr>
      </w:pPr>
      <w:r>
        <w:rPr>
          <w:rFonts w:asciiTheme="minorEastAsia" w:hAnsiTheme="minorEastAsia" w:hint="eastAsia"/>
          <w:sz w:val="24"/>
        </w:rPr>
        <w:t xml:space="preserve">　図</w:t>
      </w:r>
      <w:r>
        <w:rPr>
          <w:rFonts w:asciiTheme="minorEastAsia" w:hAnsiTheme="minorEastAsia"/>
          <w:sz w:val="24"/>
        </w:rPr>
        <w:t>4</w:t>
      </w:r>
      <w:r>
        <w:rPr>
          <w:rFonts w:asciiTheme="minorEastAsia" w:hAnsiTheme="minorEastAsia" w:hint="eastAsia"/>
          <w:sz w:val="24"/>
        </w:rPr>
        <w:t>に</w:t>
      </w:r>
      <w:r>
        <w:rPr>
          <w:rFonts w:asciiTheme="minorEastAsia" w:hAnsiTheme="minorEastAsia"/>
          <w:sz w:val="24"/>
        </w:rPr>
        <w:t>EDFA</w:t>
      </w:r>
      <w:r>
        <w:rPr>
          <w:rFonts w:asciiTheme="minorEastAsia" w:hAnsiTheme="minorEastAsia" w:hint="eastAsia"/>
          <w:sz w:val="24"/>
        </w:rPr>
        <w:t>及び</w:t>
      </w:r>
      <w:r>
        <w:rPr>
          <w:rFonts w:asciiTheme="minorEastAsia" w:hAnsiTheme="minorEastAsia"/>
          <w:sz w:val="24"/>
        </w:rPr>
        <w:t>f-2f</w:t>
      </w:r>
      <w:r>
        <w:rPr>
          <w:rFonts w:asciiTheme="minorEastAsia" w:hAnsiTheme="minorEastAsia" w:hint="eastAsia"/>
          <w:sz w:val="24"/>
        </w:rPr>
        <w:t>干渉計の概略図を示す。共振器から発せられた光は</w:t>
      </w:r>
      <w:r>
        <w:rPr>
          <w:rFonts w:asciiTheme="minorEastAsia" w:hAnsiTheme="minorEastAsia"/>
          <w:sz w:val="24"/>
        </w:rPr>
        <w:t>EDFA</w:t>
      </w:r>
      <w:r>
        <w:rPr>
          <w:rFonts w:asciiTheme="minorEastAsia" w:hAnsiTheme="minorEastAsia" w:hint="eastAsia"/>
          <w:sz w:val="24"/>
        </w:rPr>
        <w:t>を通して、平均光パワーが</w:t>
      </w:r>
      <w:r>
        <w:rPr>
          <w:rFonts w:asciiTheme="minorEastAsia" w:hAnsiTheme="minorEastAsia"/>
          <w:sz w:val="24"/>
        </w:rPr>
        <w:t>100mW</w:t>
      </w:r>
      <w:r>
        <w:rPr>
          <w:rFonts w:asciiTheme="minorEastAsia" w:hAnsiTheme="minorEastAsia" w:hint="eastAsia"/>
          <w:sz w:val="24"/>
        </w:rPr>
        <w:t>付近まで増幅される。</w:t>
      </w:r>
      <w:r>
        <w:rPr>
          <w:rFonts w:asciiTheme="minorEastAsia" w:hAnsiTheme="minorEastAsia"/>
          <w:sz w:val="24"/>
        </w:rPr>
        <w:t>EDFA</w:t>
      </w:r>
      <w:r>
        <w:rPr>
          <w:rFonts w:asciiTheme="minorEastAsia" w:hAnsiTheme="minorEastAsia" w:hint="eastAsia"/>
          <w:sz w:val="24"/>
        </w:rPr>
        <w:t>後の光は高非線形ファイバー</w:t>
      </w:r>
      <w:r>
        <w:rPr>
          <w:rFonts w:asciiTheme="minorEastAsia" w:hAnsiTheme="minorEastAsia"/>
          <w:sz w:val="24"/>
        </w:rPr>
        <w:t>(HNLF)</w:t>
      </w:r>
      <w:r>
        <w:rPr>
          <w:rFonts w:asciiTheme="minorEastAsia" w:hAnsiTheme="minorEastAsia" w:hint="eastAsia"/>
          <w:sz w:val="24"/>
        </w:rPr>
        <w:t>へ入射し、非線形光学効果</w:t>
      </w:r>
      <w:r>
        <w:rPr>
          <w:rFonts w:asciiTheme="minorEastAsia" w:hAnsiTheme="minorEastAsia"/>
          <w:sz w:val="24"/>
        </w:rPr>
        <w:t>(</w:t>
      </w:r>
      <w:r w:rsidRPr="003F71B6">
        <w:rPr>
          <w:rFonts w:asciiTheme="minorEastAsia" w:hAnsiTheme="minorEastAsia" w:hint="eastAsia"/>
          <w:sz w:val="24"/>
        </w:rPr>
        <w:t>自己位相変調・四光波混合・ラマン散乱</w:t>
      </w:r>
      <w:r>
        <w:rPr>
          <w:rFonts w:asciiTheme="minorEastAsia" w:hAnsiTheme="minorEastAsia"/>
          <w:sz w:val="24"/>
        </w:rPr>
        <w:t>)</w:t>
      </w:r>
      <w:r w:rsidR="00393D2B">
        <w:rPr>
          <w:rFonts w:asciiTheme="minorEastAsia" w:hAnsiTheme="minorEastAsia" w:hint="eastAsia"/>
          <w:sz w:val="24"/>
        </w:rPr>
        <w:t>により、スペクトルが広げられる。</w:t>
      </w:r>
      <w:r w:rsidR="00393D2B">
        <w:rPr>
          <w:rFonts w:asciiTheme="minorEastAsia" w:hAnsiTheme="minorEastAsia"/>
          <w:sz w:val="24"/>
        </w:rPr>
        <w:t>HNLF</w:t>
      </w:r>
      <w:r w:rsidR="00393D2B">
        <w:rPr>
          <w:rFonts w:asciiTheme="minorEastAsia" w:hAnsiTheme="minorEastAsia" w:hint="eastAsia"/>
          <w:sz w:val="24"/>
        </w:rPr>
        <w:t>後の光を光スペクトラム・アナライザーで計測した結果を図</w:t>
      </w:r>
      <w:r w:rsidR="00393D2B">
        <w:rPr>
          <w:rFonts w:asciiTheme="minorEastAsia" w:hAnsiTheme="minorEastAsia"/>
          <w:sz w:val="24"/>
        </w:rPr>
        <w:t>5</w:t>
      </w:r>
      <w:r w:rsidR="00393D2B">
        <w:rPr>
          <w:rFonts w:asciiTheme="minorEastAsia" w:hAnsiTheme="minorEastAsia" w:hint="eastAsia"/>
          <w:sz w:val="24"/>
        </w:rPr>
        <w:t>に示す。図</w:t>
      </w:r>
      <w:r w:rsidR="00393D2B">
        <w:rPr>
          <w:rFonts w:asciiTheme="minorEastAsia" w:hAnsiTheme="minorEastAsia"/>
          <w:sz w:val="24"/>
        </w:rPr>
        <w:t>5</w:t>
      </w:r>
      <w:r w:rsidR="00393D2B">
        <w:rPr>
          <w:rFonts w:asciiTheme="minorEastAsia" w:hAnsiTheme="minorEastAsia" w:hint="eastAsia"/>
          <w:sz w:val="24"/>
        </w:rPr>
        <w:t>において、</w:t>
      </w:r>
      <w:r w:rsidR="00393D2B">
        <w:rPr>
          <w:rFonts w:asciiTheme="minorEastAsia" w:hAnsiTheme="minorEastAsia"/>
          <w:sz w:val="24"/>
        </w:rPr>
        <w:t>1000nm</w:t>
      </w:r>
      <w:r w:rsidR="00393D2B">
        <w:rPr>
          <w:rFonts w:asciiTheme="minorEastAsia" w:hAnsiTheme="minorEastAsia" w:hint="eastAsia"/>
          <w:sz w:val="24"/>
        </w:rPr>
        <w:t>〜</w:t>
      </w:r>
      <w:r w:rsidR="00393D2B">
        <w:rPr>
          <w:rFonts w:asciiTheme="minorEastAsia" w:hAnsiTheme="minorEastAsia"/>
          <w:sz w:val="24"/>
        </w:rPr>
        <w:t>2000nm</w:t>
      </w:r>
      <w:r w:rsidR="00393D2B">
        <w:rPr>
          <w:rFonts w:asciiTheme="minorEastAsia" w:hAnsiTheme="minorEastAsia" w:hint="eastAsia"/>
          <w:sz w:val="24"/>
        </w:rPr>
        <w:t>の</w:t>
      </w:r>
      <w:r w:rsidR="00393D2B">
        <w:rPr>
          <w:rFonts w:asciiTheme="minorEastAsia" w:hAnsiTheme="minorEastAsia"/>
          <w:sz w:val="24"/>
        </w:rPr>
        <w:t>1</w:t>
      </w:r>
      <w:r w:rsidR="00393D2B">
        <w:rPr>
          <w:rFonts w:asciiTheme="minorEastAsia" w:hAnsiTheme="minorEastAsia" w:hint="eastAsia"/>
          <w:sz w:val="24"/>
        </w:rPr>
        <w:t>オクターブ以上にスペクトルが広げられていることがわかる。</w:t>
      </w:r>
    </w:p>
    <w:p w:rsidR="000B731B" w:rsidRDefault="003F71B6" w:rsidP="000B731B">
      <w:pPr>
        <w:rPr>
          <w:rFonts w:asciiTheme="minorEastAsia" w:hAnsiTheme="minorEastAsia" w:hint="eastAsia"/>
          <w:sz w:val="24"/>
        </w:rPr>
      </w:pPr>
      <w:r w:rsidRPr="003F71B6">
        <w:rPr>
          <w:rFonts w:asciiTheme="minorEastAsia" w:hAnsiTheme="minorEastAsia"/>
          <w:sz w:val="24"/>
        </w:rPr>
        <w:drawing>
          <wp:inline distT="0" distB="0" distL="0" distR="0">
            <wp:extent cx="6265331" cy="2000539"/>
            <wp:effectExtent l="25400" t="0" r="8469" b="0"/>
            <wp:docPr id="11" name=" 10"/>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pic:cNvPicPr>
                  </pic:nvPicPr>
                  <pic:blipFill>
                    <a:blip r:embed="rId10"/>
                    <a:stretch>
                      <a:fillRect/>
                    </a:stretch>
                  </pic:blipFill>
                  <pic:spPr>
                    <a:xfrm>
                      <a:off x="0" y="0"/>
                      <a:ext cx="6268578" cy="2001576"/>
                    </a:xfrm>
                    <a:prstGeom prst="rect">
                      <a:avLst/>
                    </a:prstGeom>
                  </pic:spPr>
                </pic:pic>
              </a:graphicData>
            </a:graphic>
          </wp:inline>
        </w:drawing>
      </w:r>
    </w:p>
    <w:p w:rsidR="000B731B" w:rsidRDefault="003F71B6" w:rsidP="003F71B6">
      <w:pPr>
        <w:jc w:val="center"/>
        <w:rPr>
          <w:rFonts w:asciiTheme="minorEastAsia" w:hAnsiTheme="minorEastAsia" w:hint="eastAsia"/>
          <w:sz w:val="24"/>
        </w:rPr>
      </w:pPr>
      <w:r>
        <w:rPr>
          <w:rFonts w:asciiTheme="minorEastAsia" w:hAnsiTheme="minorEastAsia" w:hint="eastAsia"/>
          <w:sz w:val="24"/>
        </w:rPr>
        <w:t>図</w:t>
      </w:r>
      <w:r>
        <w:rPr>
          <w:rFonts w:asciiTheme="minorEastAsia" w:hAnsiTheme="minorEastAsia"/>
          <w:sz w:val="24"/>
        </w:rPr>
        <w:t>4 EDFA</w:t>
      </w:r>
      <w:r>
        <w:rPr>
          <w:rFonts w:asciiTheme="minorEastAsia" w:hAnsiTheme="minorEastAsia" w:hint="eastAsia"/>
          <w:sz w:val="24"/>
        </w:rPr>
        <w:t>及び</w:t>
      </w:r>
      <w:r>
        <w:rPr>
          <w:rFonts w:asciiTheme="minorEastAsia" w:hAnsiTheme="minorEastAsia"/>
          <w:sz w:val="24"/>
        </w:rPr>
        <w:t>f-2f</w:t>
      </w:r>
      <w:r>
        <w:rPr>
          <w:rFonts w:asciiTheme="minorEastAsia" w:hAnsiTheme="minorEastAsia" w:hint="eastAsia"/>
          <w:sz w:val="24"/>
        </w:rPr>
        <w:t>干渉計</w:t>
      </w:r>
    </w:p>
    <w:p w:rsidR="00393D2B" w:rsidRDefault="00393D2B" w:rsidP="00393D2B">
      <w:pPr>
        <w:jc w:val="center"/>
        <w:rPr>
          <w:rFonts w:asciiTheme="minorEastAsia" w:hAnsiTheme="minorEastAsia" w:hint="eastAsia"/>
          <w:sz w:val="24"/>
        </w:rPr>
      </w:pPr>
      <w:r w:rsidRPr="00393D2B">
        <w:rPr>
          <w:rFonts w:asciiTheme="minorEastAsia" w:hAnsiTheme="minorEastAsia"/>
          <w:sz w:val="24"/>
        </w:rPr>
        <w:drawing>
          <wp:inline distT="0" distB="0" distL="0" distR="0">
            <wp:extent cx="2310685" cy="1650489"/>
            <wp:effectExtent l="25400" t="0" r="715" b="0"/>
            <wp:docPr id="12" name=" 1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pic:cNvPicPr>
                  </pic:nvPicPr>
                  <pic:blipFill>
                    <a:blip r:embed="rId11"/>
                    <a:srcRect l="1758" t="2083" r="15625"/>
                    <a:stretch>
                      <a:fillRect/>
                    </a:stretch>
                  </pic:blipFill>
                  <pic:spPr>
                    <a:xfrm>
                      <a:off x="0" y="0"/>
                      <a:ext cx="2320982" cy="1657844"/>
                    </a:xfrm>
                    <a:prstGeom prst="rect">
                      <a:avLst/>
                    </a:prstGeom>
                  </pic:spPr>
                </pic:pic>
              </a:graphicData>
            </a:graphic>
          </wp:inline>
        </w:drawing>
      </w:r>
      <w:r w:rsidRPr="00393D2B">
        <w:rPr>
          <w:rFonts w:asciiTheme="minorEastAsia" w:hAnsiTheme="minorEastAsia"/>
          <w:sz w:val="24"/>
        </w:rPr>
        <w:drawing>
          <wp:inline distT="0" distB="0" distL="0" distR="0">
            <wp:extent cx="2163501" cy="1657161"/>
            <wp:effectExtent l="25400" t="0" r="0" b="0"/>
            <wp:docPr id="13" name=" 12"/>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pic:cNvPicPr>
                  </pic:nvPicPr>
                  <pic:blipFill>
                    <a:blip r:embed="rId12"/>
                    <a:srcRect t="3811" r="15705" b="1075"/>
                    <a:stretch>
                      <a:fillRect/>
                    </a:stretch>
                  </pic:blipFill>
                  <pic:spPr>
                    <a:xfrm>
                      <a:off x="0" y="0"/>
                      <a:ext cx="2160738" cy="1655045"/>
                    </a:xfrm>
                    <a:prstGeom prst="rect">
                      <a:avLst/>
                    </a:prstGeom>
                  </pic:spPr>
                </pic:pic>
              </a:graphicData>
            </a:graphic>
          </wp:inline>
        </w:drawing>
      </w:r>
    </w:p>
    <w:p w:rsidR="00CF1246" w:rsidRPr="000B731B" w:rsidRDefault="00393D2B" w:rsidP="00393D2B">
      <w:pPr>
        <w:jc w:val="center"/>
        <w:rPr>
          <w:rFonts w:asciiTheme="minorEastAsia" w:hAnsiTheme="minorEastAsia"/>
          <w:sz w:val="24"/>
        </w:rPr>
      </w:pPr>
      <w:r>
        <w:rPr>
          <w:rFonts w:asciiTheme="minorEastAsia" w:hAnsiTheme="minorEastAsia" w:hint="eastAsia"/>
          <w:sz w:val="24"/>
        </w:rPr>
        <w:t>図</w:t>
      </w:r>
      <w:r>
        <w:rPr>
          <w:rFonts w:asciiTheme="minorEastAsia" w:hAnsiTheme="minorEastAsia"/>
          <w:sz w:val="24"/>
        </w:rPr>
        <w:t>5</w:t>
      </w:r>
      <w:r>
        <w:rPr>
          <w:rFonts w:asciiTheme="minorEastAsia" w:hAnsiTheme="minorEastAsia" w:hint="eastAsia"/>
          <w:sz w:val="24"/>
        </w:rPr>
        <w:t xml:space="preserve">　光スペクトル</w:t>
      </w:r>
      <w:r>
        <w:rPr>
          <w:rFonts w:asciiTheme="minorEastAsia" w:hAnsiTheme="minorEastAsia"/>
          <w:sz w:val="24"/>
        </w:rPr>
        <w:t>(HNLF</w:t>
      </w:r>
      <w:r>
        <w:rPr>
          <w:rFonts w:asciiTheme="minorEastAsia" w:hAnsiTheme="minorEastAsia" w:hint="eastAsia"/>
          <w:sz w:val="24"/>
        </w:rPr>
        <w:t>後</w:t>
      </w:r>
      <w:r>
        <w:rPr>
          <w:rFonts w:asciiTheme="minorEastAsia" w:hAnsiTheme="minorEastAsia"/>
          <w:sz w:val="24"/>
        </w:rPr>
        <w:t>)</w:t>
      </w:r>
    </w:p>
    <w:p w:rsidR="00BE4B91" w:rsidRPr="0016665A" w:rsidRDefault="00CF1246" w:rsidP="00CF1246">
      <w:pPr>
        <w:rPr>
          <w:rFonts w:asciiTheme="majorEastAsia" w:eastAsiaTheme="majorEastAsia" w:hAnsiTheme="majorEastAsia" w:hint="eastAsia"/>
          <w:sz w:val="24"/>
        </w:rPr>
      </w:pPr>
      <w:r>
        <w:rPr>
          <w:rFonts w:asciiTheme="majorEastAsia" w:eastAsiaTheme="majorEastAsia" w:hAnsiTheme="majorEastAsia" w:hint="eastAsia"/>
          <w:sz w:val="24"/>
        </w:rPr>
        <w:t>・</w:t>
      </w:r>
      <w:r>
        <w:rPr>
          <w:rFonts w:asciiTheme="majorEastAsia" w:eastAsiaTheme="majorEastAsia" w:hAnsiTheme="majorEastAsia" w:cs="Helvetica" w:hint="eastAsia"/>
          <w:b/>
          <w:bCs/>
          <w:color w:val="000000"/>
          <w:sz w:val="24"/>
        </w:rPr>
        <w:t>センシング光コム</w:t>
      </w:r>
    </w:p>
    <w:p w:rsidR="00BE4B91" w:rsidRPr="0016665A" w:rsidRDefault="005774AC" w:rsidP="00803710">
      <w:pPr>
        <w:pStyle w:val="ab"/>
        <w:numPr>
          <w:ilvl w:val="0"/>
          <w:numId w:val="8"/>
        </w:numPr>
        <w:ind w:leftChars="0"/>
        <w:rPr>
          <w:rFonts w:asciiTheme="majorEastAsia" w:eastAsiaTheme="majorEastAsia" w:hAnsiTheme="majorEastAsia"/>
          <w:b/>
          <w:sz w:val="24"/>
        </w:rPr>
      </w:pPr>
      <w:r w:rsidRPr="0016665A">
        <w:rPr>
          <w:rFonts w:asciiTheme="majorEastAsia" w:eastAsiaTheme="majorEastAsia" w:hAnsiTheme="majorEastAsia" w:hint="eastAsia"/>
          <w:b/>
          <w:sz w:val="24"/>
        </w:rPr>
        <w:t>イントロダクション</w:t>
      </w:r>
    </w:p>
    <w:p w:rsidR="007C3AD1" w:rsidRDefault="005774AC" w:rsidP="0016665A">
      <w:pPr>
        <w:rPr>
          <w:sz w:val="24"/>
        </w:rPr>
      </w:pPr>
      <w:r>
        <w:rPr>
          <w:rFonts w:hint="eastAsia"/>
          <w:sz w:val="24"/>
        </w:rPr>
        <w:t xml:space="preserve">　</w:t>
      </w:r>
      <w:r w:rsidR="0016665A" w:rsidRPr="0016665A">
        <w:rPr>
          <w:rFonts w:hint="eastAsia"/>
          <w:sz w:val="24"/>
        </w:rPr>
        <w:t>光コムを用いた光周波数測定</w:t>
      </w:r>
      <w:r w:rsidR="0016665A" w:rsidRPr="0016665A">
        <w:rPr>
          <w:rFonts w:hint="eastAsia"/>
          <w:sz w:val="24"/>
        </w:rPr>
        <w:t>[1]</w:t>
      </w:r>
      <w:r w:rsidR="0016665A" w:rsidRPr="0016665A">
        <w:rPr>
          <w:rFonts w:hint="eastAsia"/>
          <w:sz w:val="24"/>
        </w:rPr>
        <w:t>が初めて報告されて以降、光コムは瞬く間に光周波数計測や分光計測の分野に拡がり、</w:t>
      </w:r>
      <w:r w:rsidR="0016665A" w:rsidRPr="0016665A">
        <w:rPr>
          <w:rFonts w:hint="eastAsia"/>
          <w:sz w:val="24"/>
        </w:rPr>
        <w:t>2005</w:t>
      </w:r>
      <w:r w:rsidR="0016665A" w:rsidRPr="0016665A">
        <w:rPr>
          <w:rFonts w:hint="eastAsia"/>
          <w:sz w:val="24"/>
        </w:rPr>
        <w:t>年のノーベル物理学賞に繋がった。これは、光コムの極限的光源としての特徴が、それまでの常識を大きく打ち破ったからである。しかし、光応用計測における光コムの可能性は未だ十分には開拓されていない。</w:t>
      </w:r>
      <w:r w:rsidR="007C3AD1">
        <w:rPr>
          <w:rFonts w:hint="eastAsia"/>
          <w:sz w:val="24"/>
        </w:rPr>
        <w:t>そこで、我々は</w:t>
      </w:r>
      <w:r w:rsidR="007F650F">
        <w:rPr>
          <w:rFonts w:hint="eastAsia"/>
          <w:sz w:val="24"/>
        </w:rPr>
        <w:t>光コム共振器独自の</w:t>
      </w:r>
      <w:r w:rsidR="007F650F" w:rsidRPr="0016665A">
        <w:rPr>
          <w:rFonts w:hint="eastAsia"/>
          <w:sz w:val="24"/>
        </w:rPr>
        <w:t>『外乱</w:t>
      </w:r>
      <w:r w:rsidR="007F650F" w:rsidRPr="0016665A">
        <w:rPr>
          <w:rFonts w:hint="eastAsia"/>
          <w:sz w:val="24"/>
        </w:rPr>
        <w:t>/RF</w:t>
      </w:r>
      <w:r w:rsidR="007F650F" w:rsidRPr="0016665A">
        <w:rPr>
          <w:rFonts w:hint="eastAsia"/>
          <w:sz w:val="24"/>
        </w:rPr>
        <w:t>周波数変換機能』</w:t>
      </w:r>
      <w:r w:rsidR="007F650F">
        <w:rPr>
          <w:rFonts w:hint="eastAsia"/>
          <w:sz w:val="24"/>
        </w:rPr>
        <w:t>に注目した。</w:t>
      </w:r>
      <w:r w:rsidR="0016665A" w:rsidRPr="0016665A">
        <w:rPr>
          <w:rFonts w:hint="eastAsia"/>
          <w:sz w:val="24"/>
        </w:rPr>
        <w:t>光コム共振器独自の『外乱</w:t>
      </w:r>
      <w:r w:rsidR="0016665A" w:rsidRPr="0016665A">
        <w:rPr>
          <w:rFonts w:hint="eastAsia"/>
          <w:sz w:val="24"/>
        </w:rPr>
        <w:t>/RF</w:t>
      </w:r>
      <w:r w:rsidR="0016665A" w:rsidRPr="0016665A">
        <w:rPr>
          <w:rFonts w:hint="eastAsia"/>
          <w:sz w:val="24"/>
        </w:rPr>
        <w:t>周波数変換機能』を利用すれば、様々な物理量を、</w:t>
      </w:r>
      <w:r w:rsidR="0016665A" w:rsidRPr="0016665A">
        <w:rPr>
          <w:rFonts w:hint="eastAsia"/>
          <w:sz w:val="24"/>
        </w:rPr>
        <w:t>RF</w:t>
      </w:r>
      <w:r w:rsidR="0016665A" w:rsidRPr="0016665A">
        <w:rPr>
          <w:rFonts w:hint="eastAsia"/>
          <w:sz w:val="24"/>
        </w:rPr>
        <w:t>周波数に変換することが可能になる。周波数は極めて高精度計測が可能な物理量であるので、このアプローチにより光コム応用計測の新展開が期待できる。本発表では、光音響イメージング</w:t>
      </w:r>
      <w:r w:rsidR="000B731B">
        <w:rPr>
          <w:rFonts w:hint="eastAsia"/>
          <w:sz w:val="24"/>
        </w:rPr>
        <w:t>[3</w:t>
      </w:r>
      <w:r w:rsidR="0016665A" w:rsidRPr="0016665A">
        <w:rPr>
          <w:rFonts w:hint="eastAsia"/>
          <w:sz w:val="24"/>
        </w:rPr>
        <w:t>]</w:t>
      </w:r>
      <w:r w:rsidR="0016665A" w:rsidRPr="0016665A">
        <w:rPr>
          <w:rFonts w:hint="eastAsia"/>
          <w:sz w:val="24"/>
        </w:rPr>
        <w:t xml:space="preserve">への応用展開をにらみ、測定物理量としてひずみを取り上げ、静的ひずみに対するレーザー繰返し周波数の応答特性を評価した。さらに、光音響イメージングで求められる水中環境測定に対するレーザー繰返し周波数の安定性を評価した。　</w:t>
      </w:r>
    </w:p>
    <w:p w:rsidR="007C3AD1" w:rsidRDefault="007C3AD1" w:rsidP="0016665A">
      <w:pPr>
        <w:rPr>
          <w:sz w:val="24"/>
        </w:rPr>
      </w:pPr>
    </w:p>
    <w:p w:rsidR="007F650F" w:rsidRPr="0016665A" w:rsidRDefault="009F734F" w:rsidP="007F650F">
      <w:pPr>
        <w:pStyle w:val="ab"/>
        <w:numPr>
          <w:ilvl w:val="0"/>
          <w:numId w:val="8"/>
        </w:numPr>
        <w:ind w:leftChars="0"/>
        <w:rPr>
          <w:rFonts w:asciiTheme="majorEastAsia" w:eastAsiaTheme="majorEastAsia" w:hAnsiTheme="majorEastAsia"/>
          <w:b/>
          <w:sz w:val="24"/>
        </w:rPr>
      </w:pPr>
      <w:r>
        <w:rPr>
          <w:rFonts w:asciiTheme="majorEastAsia" w:eastAsiaTheme="majorEastAsia" w:hAnsiTheme="majorEastAsia" w:hint="eastAsia"/>
          <w:b/>
          <w:sz w:val="24"/>
        </w:rPr>
        <w:t>歪みセンシング光コム基礎特性</w:t>
      </w:r>
    </w:p>
    <w:p w:rsidR="009F734F" w:rsidRDefault="007F650F" w:rsidP="0016665A">
      <w:pPr>
        <w:rPr>
          <w:sz w:val="24"/>
        </w:rPr>
      </w:pPr>
      <w:r>
        <w:rPr>
          <w:rFonts w:hint="eastAsia"/>
          <w:sz w:val="24"/>
        </w:rPr>
        <w:t xml:space="preserve">　図</w:t>
      </w:r>
      <w:r w:rsidR="00CC77E3">
        <w:rPr>
          <w:sz w:val="24"/>
        </w:rPr>
        <w:t>6</w:t>
      </w:r>
      <w:r>
        <w:rPr>
          <w:rFonts w:hint="eastAsia"/>
          <w:sz w:val="24"/>
        </w:rPr>
        <w:t>に構築した歪みセンシング光コムの概略図を示す。光ファイバーで構成されたリング型共振器において、非線形偏波回転によるモード同期を行いパルス発振させる。発振したパルスはリング型共振器から出力された後、分岐カプラによって</w:t>
      </w:r>
      <w:r>
        <w:rPr>
          <w:sz w:val="24"/>
        </w:rPr>
        <w:t>frep</w:t>
      </w:r>
      <w:r>
        <w:rPr>
          <w:rFonts w:hint="eastAsia"/>
          <w:sz w:val="24"/>
        </w:rPr>
        <w:t>制御系と</w:t>
      </w:r>
      <w:r>
        <w:rPr>
          <w:sz w:val="24"/>
        </w:rPr>
        <w:t>frep</w:t>
      </w:r>
      <w:r>
        <w:rPr>
          <w:rFonts w:hint="eastAsia"/>
          <w:sz w:val="24"/>
        </w:rPr>
        <w:t>制御周波数応答評価系へと分けられる。</w:t>
      </w:r>
      <w:r>
        <w:rPr>
          <w:sz w:val="24"/>
        </w:rPr>
        <w:t>frep</w:t>
      </w:r>
      <w:r>
        <w:rPr>
          <w:rFonts w:hint="eastAsia"/>
          <w:sz w:val="24"/>
        </w:rPr>
        <w:t>制御系では、</w:t>
      </w:r>
      <w:r>
        <w:rPr>
          <w:sz w:val="24"/>
        </w:rPr>
        <w:t>PD</w:t>
      </w:r>
      <w:r>
        <w:rPr>
          <w:rFonts w:hint="eastAsia"/>
          <w:sz w:val="24"/>
        </w:rPr>
        <w:t>で</w:t>
      </w:r>
      <w:r>
        <w:rPr>
          <w:sz w:val="24"/>
        </w:rPr>
        <w:t>frep</w:t>
      </w:r>
      <w:r>
        <w:rPr>
          <w:rFonts w:hint="eastAsia"/>
          <w:sz w:val="24"/>
        </w:rPr>
        <w:t>信号を検出後、参照信号とミキシングを行い、位相成分を</w:t>
      </w:r>
      <w:r>
        <w:rPr>
          <w:sz w:val="24"/>
        </w:rPr>
        <w:t>PID</w:t>
      </w:r>
      <w:r>
        <w:rPr>
          <w:rFonts w:hint="eastAsia"/>
          <w:sz w:val="24"/>
        </w:rPr>
        <w:t>コントローラへ入力する。</w:t>
      </w:r>
      <w:r>
        <w:rPr>
          <w:sz w:val="24"/>
        </w:rPr>
        <w:t>PID</w:t>
      </w:r>
      <w:r>
        <w:rPr>
          <w:rFonts w:hint="eastAsia"/>
          <w:sz w:val="24"/>
        </w:rPr>
        <w:t>コントローラでは、</w:t>
      </w:r>
      <w:r w:rsidR="009F734F">
        <w:rPr>
          <w:rFonts w:hint="eastAsia"/>
          <w:sz w:val="24"/>
        </w:rPr>
        <w:t>位相成分が</w:t>
      </w:r>
      <w:r w:rsidR="009F734F">
        <w:rPr>
          <w:sz w:val="24"/>
        </w:rPr>
        <w:t>0</w:t>
      </w:r>
      <w:r w:rsidR="009F734F">
        <w:rPr>
          <w:rFonts w:hint="eastAsia"/>
          <w:sz w:val="24"/>
        </w:rPr>
        <w:t>となるよう、リング型共振器内の</w:t>
      </w:r>
      <w:r w:rsidR="009F734F">
        <w:rPr>
          <w:sz w:val="24"/>
        </w:rPr>
        <w:t>PZT</w:t>
      </w:r>
      <w:r w:rsidR="009F734F">
        <w:rPr>
          <w:rFonts w:hint="eastAsia"/>
          <w:sz w:val="24"/>
        </w:rPr>
        <w:t>素子へフィードバックを行い、参照信号と</w:t>
      </w:r>
      <w:r w:rsidR="009F734F">
        <w:rPr>
          <w:sz w:val="24"/>
        </w:rPr>
        <w:t>frep</w:t>
      </w:r>
      <w:r w:rsidR="009F734F">
        <w:rPr>
          <w:rFonts w:hint="eastAsia"/>
          <w:sz w:val="24"/>
        </w:rPr>
        <w:t>信号の位相同期を行う。また、</w:t>
      </w:r>
      <w:r w:rsidR="009F734F">
        <w:rPr>
          <w:sz w:val="24"/>
        </w:rPr>
        <w:t>frep</w:t>
      </w:r>
      <w:r w:rsidR="009F734F">
        <w:rPr>
          <w:rFonts w:hint="eastAsia"/>
          <w:sz w:val="24"/>
        </w:rPr>
        <w:t>制御周波数応答評価系では、狭線幅</w:t>
      </w:r>
      <w:r w:rsidR="009F734F">
        <w:rPr>
          <w:sz w:val="24"/>
        </w:rPr>
        <w:t>CW</w:t>
      </w:r>
      <w:r w:rsidR="009F734F">
        <w:rPr>
          <w:rFonts w:hint="eastAsia"/>
          <w:sz w:val="24"/>
        </w:rPr>
        <w:t>レーザーとのビート信号を</w:t>
      </w:r>
      <w:r w:rsidR="009F734F">
        <w:rPr>
          <w:rFonts w:hint="eastAsia"/>
          <w:sz w:val="24"/>
        </w:rPr>
        <w:t>PD</w:t>
      </w:r>
      <w:r w:rsidR="009F734F">
        <w:rPr>
          <w:rFonts w:hint="eastAsia"/>
          <w:sz w:val="24"/>
        </w:rPr>
        <w:t>で検出後、</w:t>
      </w:r>
      <w:r w:rsidR="009F734F">
        <w:rPr>
          <w:sz w:val="24"/>
        </w:rPr>
        <w:t>RF</w:t>
      </w:r>
      <w:r w:rsidR="009F734F">
        <w:rPr>
          <w:rFonts w:hint="eastAsia"/>
          <w:sz w:val="24"/>
        </w:rPr>
        <w:t>スペクトラムアナライザーによって計測する。</w:t>
      </w:r>
    </w:p>
    <w:p w:rsidR="009F734F" w:rsidRDefault="009F734F" w:rsidP="0016665A">
      <w:pPr>
        <w:rPr>
          <w:sz w:val="24"/>
        </w:rPr>
      </w:pPr>
      <w:r>
        <w:rPr>
          <w:rFonts w:hint="eastAsia"/>
          <w:sz w:val="24"/>
        </w:rPr>
        <w:t xml:space="preserve">　実験結果を図</w:t>
      </w:r>
      <w:r>
        <w:rPr>
          <w:sz w:val="24"/>
        </w:rPr>
        <w:t>2</w:t>
      </w:r>
      <w:r>
        <w:rPr>
          <w:rFonts w:hint="eastAsia"/>
          <w:sz w:val="24"/>
        </w:rPr>
        <w:t>へ示す。図</w:t>
      </w:r>
      <w:r w:rsidR="00CC77E3">
        <w:rPr>
          <w:sz w:val="24"/>
        </w:rPr>
        <w:t>7</w:t>
      </w:r>
      <w:r w:rsidR="00CF1246">
        <w:rPr>
          <w:sz w:val="24"/>
        </w:rPr>
        <w:t>(a)</w:t>
      </w:r>
      <w:r>
        <w:rPr>
          <w:rFonts w:hint="eastAsia"/>
          <w:sz w:val="24"/>
        </w:rPr>
        <w:t>は</w:t>
      </w:r>
      <w:r>
        <w:rPr>
          <w:sz w:val="24"/>
        </w:rPr>
        <w:t>PZT</w:t>
      </w:r>
      <w:r>
        <w:rPr>
          <w:rFonts w:hint="eastAsia"/>
          <w:sz w:val="24"/>
        </w:rPr>
        <w:t>制御電圧−</w:t>
      </w:r>
      <w:r>
        <w:rPr>
          <w:sz w:val="24"/>
        </w:rPr>
        <w:t>frep</w:t>
      </w:r>
      <w:r w:rsidR="00CF1246">
        <w:rPr>
          <w:rFonts w:hint="eastAsia"/>
          <w:sz w:val="24"/>
        </w:rPr>
        <w:t>変化特性を計測した結果であり、良い線形性が得られている。また、図</w:t>
      </w:r>
      <w:r w:rsidR="00CC77E3">
        <w:rPr>
          <w:sz w:val="24"/>
        </w:rPr>
        <w:t>7</w:t>
      </w:r>
      <w:r w:rsidR="00CF1246">
        <w:rPr>
          <w:sz w:val="24"/>
        </w:rPr>
        <w:t>(b)</w:t>
      </w:r>
      <w:r>
        <w:rPr>
          <w:rFonts w:hint="eastAsia"/>
          <w:sz w:val="24"/>
        </w:rPr>
        <w:t>は周波数安定性を評価した結果である。このグラフより、計測可能な最小変位量を求める予定であったが、周波数カウンタとオシロスコープとのゲートタイムにおいて整合性が取れていないため、周波数のみでの評価を行った。</w:t>
      </w:r>
    </w:p>
    <w:p w:rsidR="00CF1246" w:rsidRDefault="009F734F" w:rsidP="0016665A">
      <w:pPr>
        <w:rPr>
          <w:rFonts w:hint="eastAsia"/>
          <w:sz w:val="24"/>
        </w:rPr>
      </w:pPr>
      <w:r>
        <w:rPr>
          <w:rFonts w:hint="eastAsia"/>
          <w:sz w:val="24"/>
        </w:rPr>
        <w:t xml:space="preserve">　</w:t>
      </w:r>
      <w:r w:rsidR="00CF1246">
        <w:rPr>
          <w:rFonts w:hint="eastAsia"/>
          <w:sz w:val="24"/>
        </w:rPr>
        <w:t>図</w:t>
      </w:r>
      <w:r w:rsidR="00393D2B">
        <w:rPr>
          <w:sz w:val="24"/>
        </w:rPr>
        <w:t>8</w:t>
      </w:r>
      <w:r w:rsidR="00CF1246">
        <w:rPr>
          <w:rFonts w:hint="eastAsia"/>
          <w:sz w:val="24"/>
        </w:rPr>
        <w:t>に制御に用いるリング型</w:t>
      </w:r>
      <w:r w:rsidR="00CF1246">
        <w:rPr>
          <w:sz w:val="24"/>
        </w:rPr>
        <w:t>PZT</w:t>
      </w:r>
      <w:r w:rsidR="00CF1246">
        <w:rPr>
          <w:rFonts w:hint="eastAsia"/>
          <w:sz w:val="24"/>
        </w:rPr>
        <w:t>と、動的ひずみ付与に用いる積層</w:t>
      </w:r>
      <w:r w:rsidR="00CF1246">
        <w:rPr>
          <w:sz w:val="24"/>
        </w:rPr>
        <w:t>PZT</w:t>
      </w:r>
      <w:r w:rsidR="00CF1246">
        <w:rPr>
          <w:rFonts w:hint="eastAsia"/>
          <w:sz w:val="24"/>
        </w:rPr>
        <w:t>の周波数応答特性を評価した結果を示す。リング型</w:t>
      </w:r>
      <w:r w:rsidR="00CF1246">
        <w:rPr>
          <w:sz w:val="24"/>
        </w:rPr>
        <w:t>PZT</w:t>
      </w:r>
      <w:r w:rsidR="00CF1246">
        <w:rPr>
          <w:rFonts w:hint="eastAsia"/>
          <w:sz w:val="24"/>
        </w:rPr>
        <w:t>のカットオフ周波数は</w:t>
      </w:r>
      <w:r w:rsidR="00CF1246">
        <w:rPr>
          <w:sz w:val="24"/>
        </w:rPr>
        <w:t>1kHz</w:t>
      </w:r>
      <w:r w:rsidR="00CF1246">
        <w:rPr>
          <w:rFonts w:hint="eastAsia"/>
          <w:sz w:val="24"/>
        </w:rPr>
        <w:t>となった。また、積層</w:t>
      </w:r>
      <w:r w:rsidR="00CF1246">
        <w:rPr>
          <w:sz w:val="24"/>
        </w:rPr>
        <w:t>PZT</w:t>
      </w:r>
      <w:r w:rsidR="00CF1246">
        <w:rPr>
          <w:rFonts w:hint="eastAsia"/>
          <w:sz w:val="24"/>
        </w:rPr>
        <w:t>は</w:t>
      </w:r>
      <w:r w:rsidR="00CF1246">
        <w:rPr>
          <w:sz w:val="24"/>
        </w:rPr>
        <w:t>10kHz</w:t>
      </w:r>
      <w:r w:rsidR="00CF1246">
        <w:rPr>
          <w:rFonts w:hint="eastAsia"/>
          <w:sz w:val="24"/>
        </w:rPr>
        <w:t>までカットオフ周波数が現れなかったため、今回の実験では積層</w:t>
      </w:r>
      <w:r w:rsidR="00CF1246">
        <w:rPr>
          <w:sz w:val="24"/>
        </w:rPr>
        <w:t>PZT</w:t>
      </w:r>
      <w:r w:rsidR="00CF1246">
        <w:rPr>
          <w:rFonts w:hint="eastAsia"/>
          <w:sz w:val="24"/>
        </w:rPr>
        <w:t>の応答周波数により影響は考慮しなくてよいことがわかった。</w:t>
      </w:r>
    </w:p>
    <w:p w:rsidR="007C3AD1" w:rsidRDefault="009F734F" w:rsidP="0016665A">
      <w:pPr>
        <w:rPr>
          <w:sz w:val="24"/>
        </w:rPr>
      </w:pPr>
      <w:r>
        <w:rPr>
          <w:rFonts w:hint="eastAsia"/>
          <w:sz w:val="24"/>
        </w:rPr>
        <w:t>図</w:t>
      </w:r>
      <w:r w:rsidR="00393D2B">
        <w:rPr>
          <w:sz w:val="24"/>
        </w:rPr>
        <w:t>9</w:t>
      </w:r>
      <w:r>
        <w:rPr>
          <w:rFonts w:hint="eastAsia"/>
          <w:sz w:val="24"/>
        </w:rPr>
        <w:t>に周波数応答性を評価した結果を示す。周波数応答性は、</w:t>
      </w:r>
      <w:r>
        <w:rPr>
          <w:sz w:val="24"/>
        </w:rPr>
        <w:t>frep</w:t>
      </w:r>
      <w:r>
        <w:rPr>
          <w:rFonts w:hint="eastAsia"/>
          <w:sz w:val="24"/>
        </w:rPr>
        <w:t>制御を行った状態で狭線幅レーザーとのビート信号を計測し、</w:t>
      </w:r>
      <w:r>
        <w:rPr>
          <w:sz w:val="24"/>
        </w:rPr>
        <w:t>frep</w:t>
      </w:r>
      <w:r>
        <w:rPr>
          <w:rFonts w:hint="eastAsia"/>
          <w:sz w:val="24"/>
        </w:rPr>
        <w:t>の参照信号に周波数変調を加えることによって評価を行った。結果、カットオフ周波数は</w:t>
      </w:r>
      <w:r>
        <w:rPr>
          <w:sz w:val="24"/>
        </w:rPr>
        <w:t>180Hz</w:t>
      </w:r>
      <w:r>
        <w:rPr>
          <w:rFonts w:hint="eastAsia"/>
          <w:sz w:val="24"/>
        </w:rPr>
        <w:t>となった。</w:t>
      </w:r>
    </w:p>
    <w:p w:rsidR="009F734F" w:rsidRDefault="007F650F" w:rsidP="007F650F">
      <w:pPr>
        <w:jc w:val="center"/>
        <w:rPr>
          <w:sz w:val="24"/>
        </w:rPr>
      </w:pPr>
      <w:r w:rsidRPr="007F650F">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6118860" cy="3408045"/>
            <wp:effectExtent l="25400" t="0" r="2540" b="0"/>
            <wp:wrapTight wrapText="bothSides">
              <wp:wrapPolygon edited="0">
                <wp:start x="-90" y="0"/>
                <wp:lineTo x="-90" y="21572"/>
                <wp:lineTo x="21609" y="21572"/>
                <wp:lineTo x="21609" y="0"/>
                <wp:lineTo x="-9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6118860" cy="3408045"/>
                    </a:xfrm>
                    <a:prstGeom prst="rect">
                      <a:avLst/>
                    </a:prstGeom>
                    <a:noFill/>
                    <a:ln w="9525">
                      <a:noFill/>
                      <a:miter lim="800000"/>
                      <a:headEnd/>
                      <a:tailEnd/>
                    </a:ln>
                  </pic:spPr>
                </pic:pic>
              </a:graphicData>
            </a:graphic>
          </wp:anchor>
        </w:drawing>
      </w:r>
      <w:r>
        <w:rPr>
          <w:rFonts w:hint="eastAsia"/>
          <w:sz w:val="24"/>
        </w:rPr>
        <w:t>図</w:t>
      </w:r>
      <w:r w:rsidR="00393D2B">
        <w:rPr>
          <w:sz w:val="24"/>
        </w:rPr>
        <w:t>6</w:t>
      </w:r>
      <w:r>
        <w:rPr>
          <w:sz w:val="24"/>
        </w:rPr>
        <w:t xml:space="preserve"> </w:t>
      </w:r>
      <w:r>
        <w:rPr>
          <w:rFonts w:hint="eastAsia"/>
          <w:sz w:val="24"/>
        </w:rPr>
        <w:t>歪みセンシング光コム</w:t>
      </w:r>
    </w:p>
    <w:p w:rsidR="009F734F" w:rsidRDefault="009F734F" w:rsidP="007F650F">
      <w:pPr>
        <w:jc w:val="center"/>
        <w:rPr>
          <w:sz w:val="24"/>
        </w:rPr>
      </w:pPr>
    </w:p>
    <w:p w:rsidR="009F734F" w:rsidRDefault="009F734F" w:rsidP="007F650F">
      <w:pPr>
        <w:jc w:val="center"/>
        <w:rPr>
          <w:sz w:val="24"/>
        </w:rPr>
      </w:pPr>
    </w:p>
    <w:p w:rsidR="009F734F" w:rsidRDefault="009F734F" w:rsidP="009F734F">
      <w:pPr>
        <w:rPr>
          <w:sz w:val="24"/>
        </w:rPr>
      </w:pPr>
      <w:r w:rsidRPr="009F734F">
        <w:rPr>
          <w:noProof/>
        </w:rPr>
        <w:drawing>
          <wp:anchor distT="0" distB="0" distL="114300" distR="114300" simplePos="0" relativeHeight="251664384" behindDoc="0" locked="0" layoutInCell="1" allowOverlap="1">
            <wp:simplePos x="0" y="0"/>
            <wp:positionH relativeFrom="column">
              <wp:posOffset>0</wp:posOffset>
            </wp:positionH>
            <wp:positionV relativeFrom="paragraph">
              <wp:posOffset>0</wp:posOffset>
            </wp:positionV>
            <wp:extent cx="6118225" cy="3277235"/>
            <wp:effectExtent l="25400" t="0" r="3175" b="0"/>
            <wp:wrapTight wrapText="bothSides">
              <wp:wrapPolygon edited="0">
                <wp:start x="-90" y="0"/>
                <wp:lineTo x="-90" y="21428"/>
                <wp:lineTo x="21611" y="21428"/>
                <wp:lineTo x="21611" y="0"/>
                <wp:lineTo x="-90" y="0"/>
              </wp:wrapPolygon>
            </wp:wrapTight>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srcRect/>
                    <a:stretch>
                      <a:fillRect/>
                    </a:stretch>
                  </pic:blipFill>
                  <pic:spPr bwMode="auto">
                    <a:xfrm>
                      <a:off x="0" y="0"/>
                      <a:ext cx="6118225" cy="3277235"/>
                    </a:xfrm>
                    <a:prstGeom prst="rect">
                      <a:avLst/>
                    </a:prstGeom>
                    <a:noFill/>
                    <a:ln w="9525">
                      <a:noFill/>
                      <a:miter lim="800000"/>
                      <a:headEnd/>
                      <a:tailEnd/>
                    </a:ln>
                  </pic:spPr>
                </pic:pic>
              </a:graphicData>
            </a:graphic>
          </wp:anchor>
        </w:drawing>
      </w:r>
      <w:r>
        <w:rPr>
          <w:rFonts w:hint="eastAsia"/>
          <w:sz w:val="24"/>
        </w:rPr>
        <w:t xml:space="preserve">　　　　</w:t>
      </w:r>
      <w:r>
        <w:rPr>
          <w:sz w:val="24"/>
        </w:rPr>
        <w:t>(a) PZT</w:t>
      </w:r>
      <w:r>
        <w:rPr>
          <w:rFonts w:hint="eastAsia"/>
          <w:sz w:val="24"/>
        </w:rPr>
        <w:t>制御電圧−</w:t>
      </w:r>
      <w:r>
        <w:rPr>
          <w:sz w:val="24"/>
        </w:rPr>
        <w:t>frep</w:t>
      </w:r>
      <w:r>
        <w:rPr>
          <w:rFonts w:hint="eastAsia"/>
          <w:sz w:val="24"/>
        </w:rPr>
        <w:t xml:space="preserve">変化特性　　　　　　　</w:t>
      </w:r>
      <w:r>
        <w:rPr>
          <w:sz w:val="24"/>
        </w:rPr>
        <w:t>(b)</w:t>
      </w:r>
      <w:r>
        <w:rPr>
          <w:rFonts w:hint="eastAsia"/>
          <w:sz w:val="24"/>
        </w:rPr>
        <w:t>周波数安定度</w:t>
      </w:r>
    </w:p>
    <w:p w:rsidR="009F734F" w:rsidRDefault="009F734F" w:rsidP="007F650F">
      <w:pPr>
        <w:jc w:val="center"/>
        <w:rPr>
          <w:sz w:val="24"/>
        </w:rPr>
      </w:pPr>
      <w:r>
        <w:rPr>
          <w:rFonts w:hint="eastAsia"/>
          <w:sz w:val="24"/>
        </w:rPr>
        <w:t>図</w:t>
      </w:r>
      <w:r w:rsidR="00393D2B">
        <w:rPr>
          <w:sz w:val="24"/>
        </w:rPr>
        <w:t>7</w:t>
      </w:r>
      <w:r>
        <w:rPr>
          <w:sz w:val="24"/>
        </w:rPr>
        <w:t xml:space="preserve"> </w:t>
      </w:r>
      <w:r>
        <w:rPr>
          <w:rFonts w:hint="eastAsia"/>
          <w:sz w:val="24"/>
        </w:rPr>
        <w:t>歪みセンシング光コム特性評価</w:t>
      </w:r>
    </w:p>
    <w:p w:rsidR="009F734F" w:rsidRDefault="009F734F" w:rsidP="007F650F">
      <w:pPr>
        <w:jc w:val="center"/>
        <w:rPr>
          <w:sz w:val="24"/>
        </w:rPr>
      </w:pPr>
    </w:p>
    <w:p w:rsidR="009F734F" w:rsidRDefault="009F734F" w:rsidP="007F650F">
      <w:pPr>
        <w:jc w:val="center"/>
        <w:rPr>
          <w:sz w:val="24"/>
        </w:rPr>
      </w:pPr>
    </w:p>
    <w:p w:rsidR="000C4C07" w:rsidRDefault="000C4C07" w:rsidP="00CF1246">
      <w:pPr>
        <w:rPr>
          <w:sz w:val="24"/>
        </w:rPr>
      </w:pPr>
    </w:p>
    <w:p w:rsidR="00CF1246" w:rsidRDefault="00CF1246" w:rsidP="00CF1246">
      <w:pPr>
        <w:jc w:val="center"/>
        <w:rPr>
          <w:sz w:val="24"/>
        </w:rPr>
      </w:pPr>
      <w:r w:rsidRPr="00CF1246">
        <w:drawing>
          <wp:inline distT="0" distB="0" distL="0" distR="0">
            <wp:extent cx="6113145" cy="3288030"/>
            <wp:effectExtent l="25400" t="0" r="8255"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113145" cy="3288030"/>
                    </a:xfrm>
                    <a:prstGeom prst="rect">
                      <a:avLst/>
                    </a:prstGeom>
                    <a:noFill/>
                    <a:ln w="9525">
                      <a:noFill/>
                      <a:miter lim="800000"/>
                      <a:headEnd/>
                      <a:tailEnd/>
                    </a:ln>
                  </pic:spPr>
                </pic:pic>
              </a:graphicData>
            </a:graphic>
          </wp:inline>
        </w:drawing>
      </w:r>
    </w:p>
    <w:p w:rsidR="00CF1246" w:rsidRDefault="00CF1246" w:rsidP="00CF1246">
      <w:pPr>
        <w:jc w:val="center"/>
        <w:rPr>
          <w:rFonts w:hint="eastAsia"/>
          <w:sz w:val="24"/>
        </w:rPr>
      </w:pPr>
      <w:r>
        <w:rPr>
          <w:rFonts w:hint="eastAsia"/>
          <w:sz w:val="24"/>
        </w:rPr>
        <w:t>図</w:t>
      </w:r>
      <w:r w:rsidR="00393D2B">
        <w:rPr>
          <w:sz w:val="24"/>
        </w:rPr>
        <w:t>8</w:t>
      </w:r>
      <w:r>
        <w:rPr>
          <w:rFonts w:hint="eastAsia"/>
          <w:sz w:val="24"/>
        </w:rPr>
        <w:t>リング型および積層</w:t>
      </w:r>
      <w:r>
        <w:rPr>
          <w:sz w:val="24"/>
        </w:rPr>
        <w:t>PZT</w:t>
      </w:r>
      <w:r>
        <w:rPr>
          <w:rFonts w:hint="eastAsia"/>
          <w:sz w:val="24"/>
        </w:rPr>
        <w:t>周波数応答評価</w:t>
      </w:r>
    </w:p>
    <w:p w:rsidR="009F734F" w:rsidRDefault="009F734F" w:rsidP="00CF1246">
      <w:pPr>
        <w:jc w:val="center"/>
        <w:rPr>
          <w:sz w:val="24"/>
        </w:rPr>
      </w:pPr>
    </w:p>
    <w:p w:rsidR="009F734F" w:rsidRDefault="009F734F" w:rsidP="009F734F">
      <w:pPr>
        <w:jc w:val="center"/>
        <w:rPr>
          <w:sz w:val="24"/>
        </w:rPr>
      </w:pPr>
      <w:r w:rsidRPr="009F734F">
        <w:rPr>
          <w:noProof/>
        </w:rPr>
        <w:drawing>
          <wp:anchor distT="0" distB="0" distL="114300" distR="114300" simplePos="0" relativeHeight="251666432" behindDoc="0" locked="0" layoutInCell="1" allowOverlap="1">
            <wp:simplePos x="0" y="0"/>
            <wp:positionH relativeFrom="column">
              <wp:posOffset>0</wp:posOffset>
            </wp:positionH>
            <wp:positionV relativeFrom="paragraph">
              <wp:posOffset>0</wp:posOffset>
            </wp:positionV>
            <wp:extent cx="6110605" cy="3378200"/>
            <wp:effectExtent l="25400" t="0" r="10795" b="0"/>
            <wp:wrapTight wrapText="bothSides">
              <wp:wrapPolygon edited="0">
                <wp:start x="-90" y="0"/>
                <wp:lineTo x="-90" y="21438"/>
                <wp:lineTo x="21638" y="21438"/>
                <wp:lineTo x="21638" y="0"/>
                <wp:lineTo x="-9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6110605" cy="3378200"/>
                    </a:xfrm>
                    <a:prstGeom prst="rect">
                      <a:avLst/>
                    </a:prstGeom>
                    <a:noFill/>
                    <a:ln w="9525">
                      <a:noFill/>
                      <a:miter lim="800000"/>
                      <a:headEnd/>
                      <a:tailEnd/>
                    </a:ln>
                  </pic:spPr>
                </pic:pic>
              </a:graphicData>
            </a:graphic>
          </wp:anchor>
        </w:drawing>
      </w:r>
      <w:r>
        <w:rPr>
          <w:rFonts w:hint="eastAsia"/>
          <w:sz w:val="24"/>
        </w:rPr>
        <w:t>図</w:t>
      </w:r>
      <w:r w:rsidR="00393D2B">
        <w:rPr>
          <w:sz w:val="24"/>
        </w:rPr>
        <w:t>9</w:t>
      </w:r>
      <w:r>
        <w:rPr>
          <w:sz w:val="24"/>
        </w:rPr>
        <w:t xml:space="preserve"> </w:t>
      </w:r>
      <w:r>
        <w:rPr>
          <w:rFonts w:hint="eastAsia"/>
          <w:sz w:val="24"/>
        </w:rPr>
        <w:t>周波数応答性評価</w:t>
      </w:r>
    </w:p>
    <w:p w:rsidR="009F734F" w:rsidRDefault="009F734F" w:rsidP="0016665A">
      <w:pPr>
        <w:rPr>
          <w:sz w:val="24"/>
        </w:rPr>
      </w:pPr>
    </w:p>
    <w:p w:rsidR="009F734F" w:rsidRPr="0016665A" w:rsidRDefault="009F734F" w:rsidP="009F734F">
      <w:pPr>
        <w:pStyle w:val="ab"/>
        <w:numPr>
          <w:ilvl w:val="0"/>
          <w:numId w:val="8"/>
        </w:numPr>
        <w:ind w:leftChars="0"/>
        <w:rPr>
          <w:rFonts w:asciiTheme="majorEastAsia" w:eastAsiaTheme="majorEastAsia" w:hAnsiTheme="majorEastAsia"/>
          <w:b/>
          <w:sz w:val="24"/>
        </w:rPr>
      </w:pPr>
      <w:r>
        <w:rPr>
          <w:rFonts w:asciiTheme="majorEastAsia" w:eastAsiaTheme="majorEastAsia" w:hAnsiTheme="majorEastAsia" w:hint="eastAsia"/>
          <w:b/>
          <w:sz w:val="24"/>
        </w:rPr>
        <w:t>歪みセンシング光コム静的ひずみ特性</w:t>
      </w:r>
    </w:p>
    <w:p w:rsidR="001144E3" w:rsidRDefault="001144E3" w:rsidP="0016665A">
      <w:pPr>
        <w:rPr>
          <w:sz w:val="24"/>
        </w:rPr>
      </w:pPr>
      <w:r>
        <w:rPr>
          <w:sz w:val="24"/>
        </w:rPr>
        <w:t xml:space="preserve"> </w:t>
      </w:r>
      <w:r>
        <w:rPr>
          <w:rFonts w:hint="eastAsia"/>
          <w:sz w:val="24"/>
        </w:rPr>
        <w:t>図</w:t>
      </w:r>
      <w:r w:rsidR="00393D2B">
        <w:rPr>
          <w:sz w:val="24"/>
        </w:rPr>
        <w:t>10</w:t>
      </w:r>
      <w:r>
        <w:rPr>
          <w:rFonts w:hint="eastAsia"/>
          <w:sz w:val="24"/>
        </w:rPr>
        <w:t>に静的ひずみ評価用セットアップを示す。リング共振器内に、静的／マクロ歪み用機械マイクロメータステージと、微小歪み用積層</w:t>
      </w:r>
      <w:r>
        <w:rPr>
          <w:sz w:val="24"/>
        </w:rPr>
        <w:t>PZT</w:t>
      </w:r>
      <w:r>
        <w:rPr>
          <w:rFonts w:hint="eastAsia"/>
          <w:sz w:val="24"/>
        </w:rPr>
        <w:t>を組み込んだ。このセットアップを用いて、リング共振器のファイバーに既知の歪みを与えた時の</w:t>
      </w:r>
      <w:r>
        <w:rPr>
          <w:sz w:val="24"/>
        </w:rPr>
        <w:t>PZT</w:t>
      </w:r>
      <w:r>
        <w:rPr>
          <w:rFonts w:hint="eastAsia"/>
          <w:sz w:val="24"/>
        </w:rPr>
        <w:t>制御電圧をオシロスコープによって計測した。計測結果を図</w:t>
      </w:r>
      <w:r w:rsidR="00393D2B">
        <w:rPr>
          <w:sz w:val="24"/>
        </w:rPr>
        <w:t>10</w:t>
      </w:r>
      <w:r>
        <w:rPr>
          <w:rFonts w:hint="eastAsia"/>
          <w:sz w:val="24"/>
        </w:rPr>
        <w:t>に示す。マクロ、微小歪みともに良い線形性を得る事ができた。また、両者の傾きがほぼ一致していることから、本手法の妥当性を示すことができた。両者の傾きの差は、マクロ歪み用機械ステージの分解能が積層</w:t>
      </w:r>
      <w:r>
        <w:rPr>
          <w:sz w:val="24"/>
        </w:rPr>
        <w:t>PZT</w:t>
      </w:r>
      <w:r>
        <w:rPr>
          <w:rFonts w:hint="eastAsia"/>
          <w:sz w:val="24"/>
        </w:rPr>
        <w:t>に比べ大きいためと考える。今後は、マイクロメータステージを</w:t>
      </w:r>
      <w:r>
        <w:rPr>
          <w:sz w:val="24"/>
        </w:rPr>
        <w:t>PZT</w:t>
      </w:r>
      <w:r>
        <w:rPr>
          <w:rFonts w:hint="eastAsia"/>
          <w:sz w:val="24"/>
        </w:rPr>
        <w:t>によって操作するタイプへ変更し、両者のグラフの傾き一致を目指す。</w:t>
      </w:r>
    </w:p>
    <w:p w:rsidR="009F734F" w:rsidRDefault="001144E3" w:rsidP="0016665A">
      <w:pPr>
        <w:rPr>
          <w:sz w:val="24"/>
        </w:rPr>
      </w:pPr>
      <w:r>
        <w:rPr>
          <w:rFonts w:hint="eastAsia"/>
          <w:sz w:val="24"/>
        </w:rPr>
        <w:t xml:space="preserve">　また、図</w:t>
      </w:r>
      <w:r w:rsidR="00393D2B">
        <w:rPr>
          <w:sz w:val="24"/>
        </w:rPr>
        <w:t>10</w:t>
      </w:r>
      <w:r>
        <w:rPr>
          <w:rFonts w:hint="eastAsia"/>
          <w:sz w:val="24"/>
        </w:rPr>
        <w:t>を用いて、検出可能な最小変位量と最大変位量を求めた。</w:t>
      </w:r>
      <w:r>
        <w:rPr>
          <w:sz w:val="24"/>
        </w:rPr>
        <w:t>PZT</w:t>
      </w:r>
      <w:r>
        <w:rPr>
          <w:rFonts w:hint="eastAsia"/>
          <w:sz w:val="24"/>
        </w:rPr>
        <w:t>制御電圧ゆらぎ</w:t>
      </w:r>
      <w:r>
        <w:rPr>
          <w:sz w:val="24"/>
        </w:rPr>
        <w:t>10mV</w:t>
      </w:r>
      <w:r>
        <w:rPr>
          <w:rFonts w:hint="eastAsia"/>
          <w:sz w:val="24"/>
        </w:rPr>
        <w:t>と図</w:t>
      </w:r>
      <w:r w:rsidR="00393D2B">
        <w:rPr>
          <w:sz w:val="24"/>
        </w:rPr>
        <w:t>10</w:t>
      </w:r>
      <w:r>
        <w:rPr>
          <w:rFonts w:hint="eastAsia"/>
          <w:sz w:val="24"/>
        </w:rPr>
        <w:t>傾き</w:t>
      </w:r>
      <w:r>
        <w:rPr>
          <w:sz w:val="24"/>
        </w:rPr>
        <w:t>281mV/</w:t>
      </w:r>
      <w:r>
        <w:rPr>
          <w:rFonts w:hint="eastAsia"/>
          <w:sz w:val="24"/>
        </w:rPr>
        <w:t>μ</w:t>
      </w:r>
      <w:r>
        <w:rPr>
          <w:sz w:val="24"/>
        </w:rPr>
        <w:t>m</w:t>
      </w:r>
      <w:r>
        <w:rPr>
          <w:rFonts w:hint="eastAsia"/>
          <w:sz w:val="24"/>
        </w:rPr>
        <w:t>より、最小変位量は</w:t>
      </w:r>
      <w:r>
        <w:rPr>
          <w:sz w:val="24"/>
        </w:rPr>
        <w:t>0.036</w:t>
      </w:r>
      <w:r>
        <w:rPr>
          <w:rFonts w:hint="eastAsia"/>
          <w:sz w:val="24"/>
        </w:rPr>
        <w:t>μ</w:t>
      </w:r>
      <w:r>
        <w:rPr>
          <w:sz w:val="24"/>
        </w:rPr>
        <w:t>m</w:t>
      </w:r>
      <w:r>
        <w:rPr>
          <w:rFonts w:hint="eastAsia"/>
          <w:sz w:val="24"/>
        </w:rPr>
        <w:t>となった。また、</w:t>
      </w:r>
      <w:r>
        <w:rPr>
          <w:sz w:val="24"/>
        </w:rPr>
        <w:t>PZT</w:t>
      </w:r>
      <w:r>
        <w:rPr>
          <w:rFonts w:hint="eastAsia"/>
          <w:sz w:val="24"/>
        </w:rPr>
        <w:t>制御電圧可変範囲</w:t>
      </w:r>
      <w:r>
        <w:rPr>
          <w:sz w:val="24"/>
        </w:rPr>
        <w:t>10V</w:t>
      </w:r>
      <w:r>
        <w:rPr>
          <w:rFonts w:hint="eastAsia"/>
          <w:sz w:val="24"/>
        </w:rPr>
        <w:t>と</w:t>
      </w:r>
      <w:r>
        <w:rPr>
          <w:sz w:val="24"/>
        </w:rPr>
        <w:t>281mV/</w:t>
      </w:r>
      <w:r>
        <w:rPr>
          <w:rFonts w:hint="eastAsia"/>
          <w:sz w:val="24"/>
        </w:rPr>
        <w:t>μ</w:t>
      </w:r>
      <w:r>
        <w:rPr>
          <w:sz w:val="24"/>
        </w:rPr>
        <w:t>m</w:t>
      </w:r>
      <w:r>
        <w:rPr>
          <w:rFonts w:hint="eastAsia"/>
          <w:sz w:val="24"/>
        </w:rPr>
        <w:t>より、最大変位量は</w:t>
      </w:r>
      <w:r>
        <w:rPr>
          <w:sz w:val="24"/>
        </w:rPr>
        <w:t>36</w:t>
      </w:r>
      <w:r>
        <w:rPr>
          <w:rFonts w:hint="eastAsia"/>
          <w:sz w:val="24"/>
        </w:rPr>
        <w:t>μ</w:t>
      </w:r>
      <w:r>
        <w:rPr>
          <w:sz w:val="24"/>
        </w:rPr>
        <w:t>m</w:t>
      </w:r>
      <w:r w:rsidR="00CF1246">
        <w:rPr>
          <w:rFonts w:hint="eastAsia"/>
          <w:sz w:val="24"/>
        </w:rPr>
        <w:t>となった。</w:t>
      </w:r>
    </w:p>
    <w:p w:rsidR="009F734F" w:rsidRDefault="001144E3" w:rsidP="0016665A">
      <w:pPr>
        <w:rPr>
          <w:sz w:val="24"/>
        </w:rPr>
      </w:pPr>
      <w:r w:rsidRPr="001144E3">
        <w:rPr>
          <w:noProof/>
          <w:sz w:val="24"/>
        </w:rPr>
        <w:drawing>
          <wp:inline distT="0" distB="0" distL="0" distR="0">
            <wp:extent cx="5612130" cy="2941320"/>
            <wp:effectExtent l="0" t="0" r="1270" b="0"/>
            <wp:docPr id="22" name="ｪ0ﾖ0ｸ0ｧ0ｯ0ﾈ0 2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32325" cy="5257800"/>
                      <a:chOff x="-126325" y="1600200"/>
                      <a:chExt cx="10032325" cy="5257800"/>
                    </a:xfrm>
                  </a:grpSpPr>
                  <a:pic>
                    <a:nvPicPr>
                      <a:cNvPr id="8" name="図 7"/>
                      <a:cNvPicPr>
                        <a:picLocks noChangeAspect="1"/>
                      </a:cNvPicPr>
                    </a:nvPicPr>
                    <a:blipFill>
                      <a:blip r:embed="rId17"/>
                      <a:stretch>
                        <a:fillRect/>
                      </a:stretch>
                    </a:blipFill>
                    <a:spPr>
                      <a:xfrm>
                        <a:off x="2133600" y="1913504"/>
                        <a:ext cx="7772400" cy="4944496"/>
                      </a:xfrm>
                      <a:prstGeom prst="rect">
                        <a:avLst/>
                      </a:prstGeom>
                    </a:spPr>
                  </a:pic>
                  <a:sp>
                    <a:nvSpPr>
                      <a:cNvPr id="12" name="正方形/長方形 11"/>
                      <a:cNvSpPr/>
                    </a:nvSpPr>
                    <a:spPr>
                      <a:xfrm rot="5400000">
                        <a:off x="5158320" y="4863570"/>
                        <a:ext cx="609600" cy="152400"/>
                      </a:xfrm>
                      <a:prstGeom prst="rect">
                        <a:avLst/>
                      </a:prstGeom>
                      <a:solidFill>
                        <a:schemeClr val="tx1"/>
                      </a:solidFill>
                      <a:ln>
                        <a:noFill/>
                      </a:ln>
                      <a:effectLst/>
                    </a:spPr>
                    <a:txSp>
                      <a:txBody>
                        <a:bodyPr rtlCol="0" anchor="ctr"/>
                        <a:lstStyle>
                          <a:defPPr>
                            <a:defRPr lang="ja-JP"/>
                          </a:defPPr>
                          <a:lvl1pPr algn="l" rtl="0" fontAlgn="base">
                            <a:spcBef>
                              <a:spcPct val="0"/>
                            </a:spcBef>
                            <a:spcAft>
                              <a:spcPct val="0"/>
                            </a:spcAft>
                            <a:defRPr kumimoji="1" sz="2000" kern="1200">
                              <a:solidFill>
                                <a:schemeClr val="lt1"/>
                              </a:solidFill>
                              <a:latin typeface="+mn-lt"/>
                              <a:ea typeface="+mn-ea"/>
                              <a:cs typeface="+mn-cs"/>
                            </a:defRPr>
                          </a:lvl1pPr>
                          <a:lvl2pPr marL="457200" algn="l" rtl="0" fontAlgn="base">
                            <a:spcBef>
                              <a:spcPct val="0"/>
                            </a:spcBef>
                            <a:spcAft>
                              <a:spcPct val="0"/>
                            </a:spcAft>
                            <a:defRPr kumimoji="1" sz="2000" kern="1200">
                              <a:solidFill>
                                <a:schemeClr val="lt1"/>
                              </a:solidFill>
                              <a:latin typeface="+mn-lt"/>
                              <a:ea typeface="+mn-ea"/>
                              <a:cs typeface="+mn-cs"/>
                            </a:defRPr>
                          </a:lvl2pPr>
                          <a:lvl3pPr marL="914400" algn="l" rtl="0" fontAlgn="base">
                            <a:spcBef>
                              <a:spcPct val="0"/>
                            </a:spcBef>
                            <a:spcAft>
                              <a:spcPct val="0"/>
                            </a:spcAft>
                            <a:defRPr kumimoji="1" sz="2000" kern="1200">
                              <a:solidFill>
                                <a:schemeClr val="lt1"/>
                              </a:solidFill>
                              <a:latin typeface="+mn-lt"/>
                              <a:ea typeface="+mn-ea"/>
                              <a:cs typeface="+mn-cs"/>
                            </a:defRPr>
                          </a:lvl3pPr>
                          <a:lvl4pPr marL="1371600" algn="l" rtl="0" fontAlgn="base">
                            <a:spcBef>
                              <a:spcPct val="0"/>
                            </a:spcBef>
                            <a:spcAft>
                              <a:spcPct val="0"/>
                            </a:spcAft>
                            <a:defRPr kumimoji="1" sz="2000" kern="1200">
                              <a:solidFill>
                                <a:schemeClr val="lt1"/>
                              </a:solidFill>
                              <a:latin typeface="+mn-lt"/>
                              <a:ea typeface="+mn-ea"/>
                              <a:cs typeface="+mn-cs"/>
                            </a:defRPr>
                          </a:lvl4pPr>
                          <a:lvl5pPr marL="1828800" algn="l" rtl="0" fontAlgn="base">
                            <a:spcBef>
                              <a:spcPct val="0"/>
                            </a:spcBef>
                            <a:spcAft>
                              <a:spcPct val="0"/>
                            </a:spcAft>
                            <a:defRPr kumimoji="1" sz="2000" kern="1200">
                              <a:solidFill>
                                <a:schemeClr val="lt1"/>
                              </a:solidFill>
                              <a:latin typeface="+mn-lt"/>
                              <a:ea typeface="+mn-ea"/>
                              <a:cs typeface="+mn-cs"/>
                            </a:defRPr>
                          </a:lvl5pPr>
                          <a:lvl6pPr marL="2286000" algn="l" defTabSz="457200" rtl="0" eaLnBrk="1" latinLnBrk="0" hangingPunct="1">
                            <a:defRPr kumimoji="1" sz="2000" kern="1200">
                              <a:solidFill>
                                <a:schemeClr val="lt1"/>
                              </a:solidFill>
                              <a:latin typeface="+mn-lt"/>
                              <a:ea typeface="+mn-ea"/>
                              <a:cs typeface="+mn-cs"/>
                            </a:defRPr>
                          </a:lvl6pPr>
                          <a:lvl7pPr marL="2743200" algn="l" defTabSz="457200" rtl="0" eaLnBrk="1" latinLnBrk="0" hangingPunct="1">
                            <a:defRPr kumimoji="1" sz="2000" kern="1200">
                              <a:solidFill>
                                <a:schemeClr val="lt1"/>
                              </a:solidFill>
                              <a:latin typeface="+mn-lt"/>
                              <a:ea typeface="+mn-ea"/>
                              <a:cs typeface="+mn-cs"/>
                            </a:defRPr>
                          </a:lvl7pPr>
                          <a:lvl8pPr marL="3200400" algn="l" defTabSz="457200" rtl="0" eaLnBrk="1" latinLnBrk="0" hangingPunct="1">
                            <a:defRPr kumimoji="1" sz="2000" kern="1200">
                              <a:solidFill>
                                <a:schemeClr val="lt1"/>
                              </a:solidFill>
                              <a:latin typeface="+mn-lt"/>
                              <a:ea typeface="+mn-ea"/>
                              <a:cs typeface="+mn-cs"/>
                            </a:defRPr>
                          </a:lvl8pPr>
                          <a:lvl9pPr marL="3657600" algn="l" defTabSz="457200" rtl="0" eaLnBrk="1" latinLnBrk="0" hangingPunct="1">
                            <a:defRPr kumimoji="1" sz="2000" kern="1200">
                              <a:solidFill>
                                <a:schemeClr val="lt1"/>
                              </a:solidFill>
                              <a:latin typeface="+mn-lt"/>
                              <a:ea typeface="+mn-ea"/>
                              <a:cs typeface="+mn-cs"/>
                            </a:defRPr>
                          </a:lvl9pPr>
                        </a:lstStyle>
                        <a:p>
                          <a:pPr algn="ctr"/>
                          <a:endParaRPr kumimoji="1" lang="ja-JP" altLang="en-US"/>
                        </a:p>
                      </a:txBody>
                      <a:useSpRect/>
                    </a:txSp>
                    <a:style>
                      <a:lnRef idx="1">
                        <a:schemeClr val="accent1"/>
                      </a:lnRef>
                      <a:fillRef idx="3">
                        <a:schemeClr val="accent1"/>
                      </a:fillRef>
                      <a:effectRef idx="2">
                        <a:schemeClr val="accent1"/>
                      </a:effectRef>
                      <a:fontRef idx="minor">
                        <a:schemeClr val="lt1"/>
                      </a:fontRef>
                    </a:style>
                  </a:sp>
                  <a:sp>
                    <a:nvSpPr>
                      <a:cNvPr id="13" name="テキスト ボックス 12"/>
                      <a:cNvSpPr txBox="1"/>
                    </a:nvSpPr>
                    <a:spPr>
                      <a:xfrm>
                        <a:off x="5014397" y="5184559"/>
                        <a:ext cx="1005403" cy="584776"/>
                      </a:xfrm>
                      <a:prstGeom prst="rect">
                        <a:avLst/>
                      </a:prstGeom>
                      <a:noFill/>
                    </a:spPr>
                    <a:txSp>
                      <a:txBody>
                        <a:bodyPr wrap="none" rtlCol="0">
                          <a:spAutoFit/>
                        </a:bodyPr>
                        <a:lstStyle>
                          <a:defPPr>
                            <a:defRPr lang="ja-JP"/>
                          </a:defPPr>
                          <a:lvl1pPr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1pPr>
                          <a:lvl2pPr marL="4572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2pPr>
                          <a:lvl3pPr marL="9144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3pPr>
                          <a:lvl4pPr marL="13716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4pPr>
                          <a:lvl5pPr marL="18288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5pPr>
                          <a:lvl6pPr marL="2286000" algn="l" defTabSz="457200" rtl="0" eaLnBrk="1" latinLnBrk="0" hangingPunct="1">
                            <a:defRPr kumimoji="1" sz="2000" kern="1200">
                              <a:solidFill>
                                <a:schemeClr val="tx1"/>
                              </a:solidFill>
                              <a:latin typeface="Arial" charset="0"/>
                              <a:ea typeface="ＭＳ ゴシック" charset="-128"/>
                              <a:cs typeface="ＭＳ ゴシック" charset="-128"/>
                            </a:defRPr>
                          </a:lvl6pPr>
                          <a:lvl7pPr marL="2743200" algn="l" defTabSz="457200" rtl="0" eaLnBrk="1" latinLnBrk="0" hangingPunct="1">
                            <a:defRPr kumimoji="1" sz="2000" kern="1200">
                              <a:solidFill>
                                <a:schemeClr val="tx1"/>
                              </a:solidFill>
                              <a:latin typeface="Arial" charset="0"/>
                              <a:ea typeface="ＭＳ ゴシック" charset="-128"/>
                              <a:cs typeface="ＭＳ ゴシック" charset="-128"/>
                            </a:defRPr>
                          </a:lvl7pPr>
                          <a:lvl8pPr marL="3200400" algn="l" defTabSz="457200" rtl="0" eaLnBrk="1" latinLnBrk="0" hangingPunct="1">
                            <a:defRPr kumimoji="1" sz="2000" kern="1200">
                              <a:solidFill>
                                <a:schemeClr val="tx1"/>
                              </a:solidFill>
                              <a:latin typeface="Arial" charset="0"/>
                              <a:ea typeface="ＭＳ ゴシック" charset="-128"/>
                              <a:cs typeface="ＭＳ ゴシック" charset="-128"/>
                            </a:defRPr>
                          </a:lvl8pPr>
                          <a:lvl9pPr marL="3657600" algn="l" defTabSz="457200" rtl="0" eaLnBrk="1" latinLnBrk="0" hangingPunct="1">
                            <a:defRPr kumimoji="1" sz="2000" kern="1200">
                              <a:solidFill>
                                <a:schemeClr val="tx1"/>
                              </a:solidFill>
                              <a:latin typeface="Arial" charset="0"/>
                              <a:ea typeface="ＭＳ ゴシック" charset="-128"/>
                              <a:cs typeface="ＭＳ ゴシック" charset="-128"/>
                            </a:defRPr>
                          </a:lvl9pPr>
                        </a:lstStyle>
                        <a:p>
                          <a:pPr algn="ctr"/>
                          <a:r>
                            <a:rPr lang="ja-JP" altLang="en-US" sz="1600" b="1" dirty="0" smtClean="0"/>
                            <a:t>固定</a:t>
                          </a:r>
                          <a:endParaRPr lang="en-US" altLang="ja-JP" sz="1600" b="1" dirty="0" smtClean="0"/>
                        </a:p>
                        <a:p>
                          <a:pPr algn="ctr"/>
                          <a:r>
                            <a:rPr kumimoji="1" lang="ja-JP" altLang="en-US" sz="1600" b="1" dirty="0" smtClean="0"/>
                            <a:t>ステージ</a:t>
                          </a:r>
                          <a:endParaRPr kumimoji="1" lang="ja-JP" altLang="en-US" sz="1600" b="1" dirty="0"/>
                        </a:p>
                      </a:txBody>
                      <a:useSpRect/>
                    </a:txSp>
                  </a:sp>
                  <a:sp>
                    <a:nvSpPr>
                      <a:cNvPr id="14" name="正方形/長方形 13"/>
                      <a:cNvSpPr/>
                    </a:nvSpPr>
                    <a:spPr>
                      <a:xfrm rot="5400000">
                        <a:off x="4417588" y="4861559"/>
                        <a:ext cx="609600" cy="156423"/>
                      </a:xfrm>
                      <a:prstGeom prst="rect">
                        <a:avLst/>
                      </a:prstGeom>
                      <a:solidFill>
                        <a:schemeClr val="tx1"/>
                      </a:solidFill>
                      <a:ln>
                        <a:noFill/>
                      </a:ln>
                      <a:effectLst/>
                    </a:spPr>
                    <a:txSp>
                      <a:txBody>
                        <a:bodyPr rtlCol="0" anchor="ctr"/>
                        <a:lstStyle>
                          <a:defPPr>
                            <a:defRPr lang="ja-JP"/>
                          </a:defPPr>
                          <a:lvl1pPr algn="l" rtl="0" fontAlgn="base">
                            <a:spcBef>
                              <a:spcPct val="0"/>
                            </a:spcBef>
                            <a:spcAft>
                              <a:spcPct val="0"/>
                            </a:spcAft>
                            <a:defRPr kumimoji="1" sz="2000" kern="1200">
                              <a:solidFill>
                                <a:schemeClr val="lt1"/>
                              </a:solidFill>
                              <a:latin typeface="+mn-lt"/>
                              <a:ea typeface="+mn-ea"/>
                              <a:cs typeface="+mn-cs"/>
                            </a:defRPr>
                          </a:lvl1pPr>
                          <a:lvl2pPr marL="457200" algn="l" rtl="0" fontAlgn="base">
                            <a:spcBef>
                              <a:spcPct val="0"/>
                            </a:spcBef>
                            <a:spcAft>
                              <a:spcPct val="0"/>
                            </a:spcAft>
                            <a:defRPr kumimoji="1" sz="2000" kern="1200">
                              <a:solidFill>
                                <a:schemeClr val="lt1"/>
                              </a:solidFill>
                              <a:latin typeface="+mn-lt"/>
                              <a:ea typeface="+mn-ea"/>
                              <a:cs typeface="+mn-cs"/>
                            </a:defRPr>
                          </a:lvl2pPr>
                          <a:lvl3pPr marL="914400" algn="l" rtl="0" fontAlgn="base">
                            <a:spcBef>
                              <a:spcPct val="0"/>
                            </a:spcBef>
                            <a:spcAft>
                              <a:spcPct val="0"/>
                            </a:spcAft>
                            <a:defRPr kumimoji="1" sz="2000" kern="1200">
                              <a:solidFill>
                                <a:schemeClr val="lt1"/>
                              </a:solidFill>
                              <a:latin typeface="+mn-lt"/>
                              <a:ea typeface="+mn-ea"/>
                              <a:cs typeface="+mn-cs"/>
                            </a:defRPr>
                          </a:lvl3pPr>
                          <a:lvl4pPr marL="1371600" algn="l" rtl="0" fontAlgn="base">
                            <a:spcBef>
                              <a:spcPct val="0"/>
                            </a:spcBef>
                            <a:spcAft>
                              <a:spcPct val="0"/>
                            </a:spcAft>
                            <a:defRPr kumimoji="1" sz="2000" kern="1200">
                              <a:solidFill>
                                <a:schemeClr val="lt1"/>
                              </a:solidFill>
                              <a:latin typeface="+mn-lt"/>
                              <a:ea typeface="+mn-ea"/>
                              <a:cs typeface="+mn-cs"/>
                            </a:defRPr>
                          </a:lvl4pPr>
                          <a:lvl5pPr marL="1828800" algn="l" rtl="0" fontAlgn="base">
                            <a:spcBef>
                              <a:spcPct val="0"/>
                            </a:spcBef>
                            <a:spcAft>
                              <a:spcPct val="0"/>
                            </a:spcAft>
                            <a:defRPr kumimoji="1" sz="2000" kern="1200">
                              <a:solidFill>
                                <a:schemeClr val="lt1"/>
                              </a:solidFill>
                              <a:latin typeface="+mn-lt"/>
                              <a:ea typeface="+mn-ea"/>
                              <a:cs typeface="+mn-cs"/>
                            </a:defRPr>
                          </a:lvl5pPr>
                          <a:lvl6pPr marL="2286000" algn="l" defTabSz="457200" rtl="0" eaLnBrk="1" latinLnBrk="0" hangingPunct="1">
                            <a:defRPr kumimoji="1" sz="2000" kern="1200">
                              <a:solidFill>
                                <a:schemeClr val="lt1"/>
                              </a:solidFill>
                              <a:latin typeface="+mn-lt"/>
                              <a:ea typeface="+mn-ea"/>
                              <a:cs typeface="+mn-cs"/>
                            </a:defRPr>
                          </a:lvl6pPr>
                          <a:lvl7pPr marL="2743200" algn="l" defTabSz="457200" rtl="0" eaLnBrk="1" latinLnBrk="0" hangingPunct="1">
                            <a:defRPr kumimoji="1" sz="2000" kern="1200">
                              <a:solidFill>
                                <a:schemeClr val="lt1"/>
                              </a:solidFill>
                              <a:latin typeface="+mn-lt"/>
                              <a:ea typeface="+mn-ea"/>
                              <a:cs typeface="+mn-cs"/>
                            </a:defRPr>
                          </a:lvl7pPr>
                          <a:lvl8pPr marL="3200400" algn="l" defTabSz="457200" rtl="0" eaLnBrk="1" latinLnBrk="0" hangingPunct="1">
                            <a:defRPr kumimoji="1" sz="2000" kern="1200">
                              <a:solidFill>
                                <a:schemeClr val="lt1"/>
                              </a:solidFill>
                              <a:latin typeface="+mn-lt"/>
                              <a:ea typeface="+mn-ea"/>
                              <a:cs typeface="+mn-cs"/>
                            </a:defRPr>
                          </a:lvl8pPr>
                          <a:lvl9pPr marL="3657600" algn="l" defTabSz="457200" rtl="0" eaLnBrk="1" latinLnBrk="0" hangingPunct="1">
                            <a:defRPr kumimoji="1" sz="2000" kern="1200">
                              <a:solidFill>
                                <a:schemeClr val="lt1"/>
                              </a:solidFill>
                              <a:latin typeface="+mn-lt"/>
                              <a:ea typeface="+mn-ea"/>
                              <a:cs typeface="+mn-cs"/>
                            </a:defRPr>
                          </a:lvl9pPr>
                        </a:lstStyle>
                        <a:p>
                          <a:pPr algn="ctr"/>
                          <a:endParaRPr kumimoji="1" lang="ja-JP" altLang="en-US"/>
                        </a:p>
                      </a:txBody>
                      <a:useSpRect/>
                    </a:txSp>
                    <a:style>
                      <a:lnRef idx="1">
                        <a:schemeClr val="accent1"/>
                      </a:lnRef>
                      <a:fillRef idx="3">
                        <a:schemeClr val="accent1"/>
                      </a:fillRef>
                      <a:effectRef idx="2">
                        <a:schemeClr val="accent1"/>
                      </a:effectRef>
                      <a:fontRef idx="minor">
                        <a:schemeClr val="lt1"/>
                      </a:fontRef>
                    </a:style>
                  </a:sp>
                  <a:sp>
                    <a:nvSpPr>
                      <a:cNvPr id="15" name="テキスト ボックス 14"/>
                      <a:cNvSpPr txBox="1"/>
                    </a:nvSpPr>
                    <a:spPr>
                      <a:xfrm>
                        <a:off x="4114800" y="5171329"/>
                        <a:ext cx="1039668" cy="584776"/>
                      </a:xfrm>
                      <a:prstGeom prst="rect">
                        <a:avLst/>
                      </a:prstGeom>
                      <a:noFill/>
                    </a:spPr>
                    <a:txSp>
                      <a:txBody>
                        <a:bodyPr wrap="none" rtlCol="0">
                          <a:spAutoFit/>
                        </a:bodyPr>
                        <a:lstStyle>
                          <a:defPPr>
                            <a:defRPr lang="ja-JP"/>
                          </a:defPPr>
                          <a:lvl1pPr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1pPr>
                          <a:lvl2pPr marL="4572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2pPr>
                          <a:lvl3pPr marL="9144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3pPr>
                          <a:lvl4pPr marL="13716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4pPr>
                          <a:lvl5pPr marL="18288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5pPr>
                          <a:lvl6pPr marL="2286000" algn="l" defTabSz="457200" rtl="0" eaLnBrk="1" latinLnBrk="0" hangingPunct="1">
                            <a:defRPr kumimoji="1" sz="2000" kern="1200">
                              <a:solidFill>
                                <a:schemeClr val="tx1"/>
                              </a:solidFill>
                              <a:latin typeface="Arial" charset="0"/>
                              <a:ea typeface="ＭＳ ゴシック" charset="-128"/>
                              <a:cs typeface="ＭＳ ゴシック" charset="-128"/>
                            </a:defRPr>
                          </a:lvl6pPr>
                          <a:lvl7pPr marL="2743200" algn="l" defTabSz="457200" rtl="0" eaLnBrk="1" latinLnBrk="0" hangingPunct="1">
                            <a:defRPr kumimoji="1" sz="2000" kern="1200">
                              <a:solidFill>
                                <a:schemeClr val="tx1"/>
                              </a:solidFill>
                              <a:latin typeface="Arial" charset="0"/>
                              <a:ea typeface="ＭＳ ゴシック" charset="-128"/>
                              <a:cs typeface="ＭＳ ゴシック" charset="-128"/>
                            </a:defRPr>
                          </a:lvl7pPr>
                          <a:lvl8pPr marL="3200400" algn="l" defTabSz="457200" rtl="0" eaLnBrk="1" latinLnBrk="0" hangingPunct="1">
                            <a:defRPr kumimoji="1" sz="2000" kern="1200">
                              <a:solidFill>
                                <a:schemeClr val="tx1"/>
                              </a:solidFill>
                              <a:latin typeface="Arial" charset="0"/>
                              <a:ea typeface="ＭＳ ゴシック" charset="-128"/>
                              <a:cs typeface="ＭＳ ゴシック" charset="-128"/>
                            </a:defRPr>
                          </a:lvl8pPr>
                          <a:lvl9pPr marL="3657600" algn="l" defTabSz="457200" rtl="0" eaLnBrk="1" latinLnBrk="0" hangingPunct="1">
                            <a:defRPr kumimoji="1" sz="2000" kern="1200">
                              <a:solidFill>
                                <a:schemeClr val="tx1"/>
                              </a:solidFill>
                              <a:latin typeface="Arial" charset="0"/>
                              <a:ea typeface="ＭＳ ゴシック" charset="-128"/>
                              <a:cs typeface="ＭＳ ゴシック" charset="-128"/>
                            </a:defRPr>
                          </a:lvl9pPr>
                        </a:lstStyle>
                        <a:p>
                          <a:pPr algn="ctr"/>
                          <a:r>
                            <a:rPr lang="ja-JP" altLang="en-US" sz="1600" b="1" dirty="0" smtClean="0"/>
                            <a:t>移動</a:t>
                          </a:r>
                          <a:r>
                            <a:rPr lang="en-US" altLang="ja-JP" sz="1600" b="1" dirty="0" smtClean="0"/>
                            <a:t>(</a:t>
                          </a:r>
                          <a:r>
                            <a:rPr lang="en-US" altLang="ja-JP" sz="1600" b="1" dirty="0" err="1" smtClean="0"/>
                            <a:t>μm</a:t>
                          </a:r>
                          <a:r>
                            <a:rPr lang="en-US" altLang="ja-JP" sz="1600" b="1" dirty="0" smtClean="0"/>
                            <a:t>)</a:t>
                          </a:r>
                        </a:p>
                        <a:p>
                          <a:pPr algn="ctr"/>
                          <a:r>
                            <a:rPr kumimoji="1" lang="ja-JP" altLang="en-US" sz="1600" b="1" dirty="0" smtClean="0"/>
                            <a:t>ステージ</a:t>
                          </a:r>
                          <a:endParaRPr kumimoji="1" lang="ja-JP" altLang="en-US" sz="1600" b="1" dirty="0"/>
                        </a:p>
                      </a:txBody>
                      <a:useSpRect/>
                    </a:txSp>
                  </a:sp>
                  <a:sp>
                    <a:nvSpPr>
                      <a:cNvPr id="16" name="左右矢印 15"/>
                      <a:cNvSpPr/>
                    </a:nvSpPr>
                    <a:spPr>
                      <a:xfrm>
                        <a:off x="4466160" y="4810650"/>
                        <a:ext cx="521775" cy="228600"/>
                      </a:xfrm>
                      <a:prstGeom prst="leftRightArrow">
                        <a:avLst/>
                      </a:prstGeom>
                      <a:solidFill>
                        <a:srgbClr val="FF0000"/>
                      </a:solidFill>
                      <a:ln>
                        <a:solidFill>
                          <a:srgbClr val="FF0000"/>
                        </a:solidFill>
                      </a:ln>
                      <a:effectLst/>
                    </a:spPr>
                    <a:txSp>
                      <a:txBody>
                        <a:bodyPr rtlCol="0" anchor="ctr"/>
                        <a:lstStyle>
                          <a:defPPr>
                            <a:defRPr lang="ja-JP"/>
                          </a:defPPr>
                          <a:lvl1pPr algn="l" rtl="0" fontAlgn="base">
                            <a:spcBef>
                              <a:spcPct val="0"/>
                            </a:spcBef>
                            <a:spcAft>
                              <a:spcPct val="0"/>
                            </a:spcAft>
                            <a:defRPr kumimoji="1" sz="2000" kern="1200">
                              <a:solidFill>
                                <a:schemeClr val="lt1"/>
                              </a:solidFill>
                              <a:latin typeface="+mn-lt"/>
                              <a:ea typeface="+mn-ea"/>
                              <a:cs typeface="+mn-cs"/>
                            </a:defRPr>
                          </a:lvl1pPr>
                          <a:lvl2pPr marL="457200" algn="l" rtl="0" fontAlgn="base">
                            <a:spcBef>
                              <a:spcPct val="0"/>
                            </a:spcBef>
                            <a:spcAft>
                              <a:spcPct val="0"/>
                            </a:spcAft>
                            <a:defRPr kumimoji="1" sz="2000" kern="1200">
                              <a:solidFill>
                                <a:schemeClr val="lt1"/>
                              </a:solidFill>
                              <a:latin typeface="+mn-lt"/>
                              <a:ea typeface="+mn-ea"/>
                              <a:cs typeface="+mn-cs"/>
                            </a:defRPr>
                          </a:lvl2pPr>
                          <a:lvl3pPr marL="914400" algn="l" rtl="0" fontAlgn="base">
                            <a:spcBef>
                              <a:spcPct val="0"/>
                            </a:spcBef>
                            <a:spcAft>
                              <a:spcPct val="0"/>
                            </a:spcAft>
                            <a:defRPr kumimoji="1" sz="2000" kern="1200">
                              <a:solidFill>
                                <a:schemeClr val="lt1"/>
                              </a:solidFill>
                              <a:latin typeface="+mn-lt"/>
                              <a:ea typeface="+mn-ea"/>
                              <a:cs typeface="+mn-cs"/>
                            </a:defRPr>
                          </a:lvl3pPr>
                          <a:lvl4pPr marL="1371600" algn="l" rtl="0" fontAlgn="base">
                            <a:spcBef>
                              <a:spcPct val="0"/>
                            </a:spcBef>
                            <a:spcAft>
                              <a:spcPct val="0"/>
                            </a:spcAft>
                            <a:defRPr kumimoji="1" sz="2000" kern="1200">
                              <a:solidFill>
                                <a:schemeClr val="lt1"/>
                              </a:solidFill>
                              <a:latin typeface="+mn-lt"/>
                              <a:ea typeface="+mn-ea"/>
                              <a:cs typeface="+mn-cs"/>
                            </a:defRPr>
                          </a:lvl4pPr>
                          <a:lvl5pPr marL="1828800" algn="l" rtl="0" fontAlgn="base">
                            <a:spcBef>
                              <a:spcPct val="0"/>
                            </a:spcBef>
                            <a:spcAft>
                              <a:spcPct val="0"/>
                            </a:spcAft>
                            <a:defRPr kumimoji="1" sz="2000" kern="1200">
                              <a:solidFill>
                                <a:schemeClr val="lt1"/>
                              </a:solidFill>
                              <a:latin typeface="+mn-lt"/>
                              <a:ea typeface="+mn-ea"/>
                              <a:cs typeface="+mn-cs"/>
                            </a:defRPr>
                          </a:lvl5pPr>
                          <a:lvl6pPr marL="2286000" algn="l" defTabSz="457200" rtl="0" eaLnBrk="1" latinLnBrk="0" hangingPunct="1">
                            <a:defRPr kumimoji="1" sz="2000" kern="1200">
                              <a:solidFill>
                                <a:schemeClr val="lt1"/>
                              </a:solidFill>
                              <a:latin typeface="+mn-lt"/>
                              <a:ea typeface="+mn-ea"/>
                              <a:cs typeface="+mn-cs"/>
                            </a:defRPr>
                          </a:lvl6pPr>
                          <a:lvl7pPr marL="2743200" algn="l" defTabSz="457200" rtl="0" eaLnBrk="1" latinLnBrk="0" hangingPunct="1">
                            <a:defRPr kumimoji="1" sz="2000" kern="1200">
                              <a:solidFill>
                                <a:schemeClr val="lt1"/>
                              </a:solidFill>
                              <a:latin typeface="+mn-lt"/>
                              <a:ea typeface="+mn-ea"/>
                              <a:cs typeface="+mn-cs"/>
                            </a:defRPr>
                          </a:lvl7pPr>
                          <a:lvl8pPr marL="3200400" algn="l" defTabSz="457200" rtl="0" eaLnBrk="1" latinLnBrk="0" hangingPunct="1">
                            <a:defRPr kumimoji="1" sz="2000" kern="1200">
                              <a:solidFill>
                                <a:schemeClr val="lt1"/>
                              </a:solidFill>
                              <a:latin typeface="+mn-lt"/>
                              <a:ea typeface="+mn-ea"/>
                              <a:cs typeface="+mn-cs"/>
                            </a:defRPr>
                          </a:lvl8pPr>
                          <a:lvl9pPr marL="3657600" algn="l" defTabSz="457200" rtl="0" eaLnBrk="1" latinLnBrk="0" hangingPunct="1">
                            <a:defRPr kumimoji="1" sz="2000" kern="1200">
                              <a:solidFill>
                                <a:schemeClr val="lt1"/>
                              </a:solidFill>
                              <a:latin typeface="+mn-lt"/>
                              <a:ea typeface="+mn-ea"/>
                              <a:cs typeface="+mn-cs"/>
                            </a:defRPr>
                          </a:lvl9pPr>
                        </a:lstStyle>
                        <a:p>
                          <a:pPr algn="ctr"/>
                          <a:endParaRPr kumimoji="1" lang="ja-JP" altLang="en-US"/>
                        </a:p>
                      </a:txBody>
                      <a:useSpRect/>
                    </a:txSp>
                    <a:style>
                      <a:lnRef idx="1">
                        <a:schemeClr val="accent1"/>
                      </a:lnRef>
                      <a:fillRef idx="3">
                        <a:schemeClr val="accent1"/>
                      </a:fillRef>
                      <a:effectRef idx="2">
                        <a:schemeClr val="accent1"/>
                      </a:effectRef>
                      <a:fontRef idx="minor">
                        <a:schemeClr val="lt1"/>
                      </a:fontRef>
                    </a:style>
                  </a:sp>
                  <a:sp>
                    <a:nvSpPr>
                      <a:cNvPr id="17" name="正方形/長方形 16"/>
                      <a:cNvSpPr/>
                    </a:nvSpPr>
                    <a:spPr>
                      <a:xfrm>
                        <a:off x="4114800" y="4495801"/>
                        <a:ext cx="1828800" cy="1219200"/>
                      </a:xfrm>
                      <a:prstGeom prst="rect">
                        <a:avLst/>
                      </a:prstGeom>
                      <a:noFill/>
                      <a:ln w="50800">
                        <a:solidFill>
                          <a:srgbClr val="FF0000"/>
                        </a:solidFill>
                        <a:prstDash val="dash"/>
                      </a:ln>
                      <a:effectLst/>
                    </a:spPr>
                    <a:txSp>
                      <a:txBody>
                        <a:bodyPr rtlCol="0" anchor="ctr"/>
                        <a:lstStyle>
                          <a:defPPr>
                            <a:defRPr lang="ja-JP"/>
                          </a:defPPr>
                          <a:lvl1pPr algn="l" rtl="0" fontAlgn="base">
                            <a:spcBef>
                              <a:spcPct val="0"/>
                            </a:spcBef>
                            <a:spcAft>
                              <a:spcPct val="0"/>
                            </a:spcAft>
                            <a:defRPr kumimoji="1" sz="2000" kern="1200">
                              <a:solidFill>
                                <a:schemeClr val="lt1"/>
                              </a:solidFill>
                              <a:latin typeface="+mn-lt"/>
                              <a:ea typeface="+mn-ea"/>
                              <a:cs typeface="+mn-cs"/>
                            </a:defRPr>
                          </a:lvl1pPr>
                          <a:lvl2pPr marL="457200" algn="l" rtl="0" fontAlgn="base">
                            <a:spcBef>
                              <a:spcPct val="0"/>
                            </a:spcBef>
                            <a:spcAft>
                              <a:spcPct val="0"/>
                            </a:spcAft>
                            <a:defRPr kumimoji="1" sz="2000" kern="1200">
                              <a:solidFill>
                                <a:schemeClr val="lt1"/>
                              </a:solidFill>
                              <a:latin typeface="+mn-lt"/>
                              <a:ea typeface="+mn-ea"/>
                              <a:cs typeface="+mn-cs"/>
                            </a:defRPr>
                          </a:lvl2pPr>
                          <a:lvl3pPr marL="914400" algn="l" rtl="0" fontAlgn="base">
                            <a:spcBef>
                              <a:spcPct val="0"/>
                            </a:spcBef>
                            <a:spcAft>
                              <a:spcPct val="0"/>
                            </a:spcAft>
                            <a:defRPr kumimoji="1" sz="2000" kern="1200">
                              <a:solidFill>
                                <a:schemeClr val="lt1"/>
                              </a:solidFill>
                              <a:latin typeface="+mn-lt"/>
                              <a:ea typeface="+mn-ea"/>
                              <a:cs typeface="+mn-cs"/>
                            </a:defRPr>
                          </a:lvl3pPr>
                          <a:lvl4pPr marL="1371600" algn="l" rtl="0" fontAlgn="base">
                            <a:spcBef>
                              <a:spcPct val="0"/>
                            </a:spcBef>
                            <a:spcAft>
                              <a:spcPct val="0"/>
                            </a:spcAft>
                            <a:defRPr kumimoji="1" sz="2000" kern="1200">
                              <a:solidFill>
                                <a:schemeClr val="lt1"/>
                              </a:solidFill>
                              <a:latin typeface="+mn-lt"/>
                              <a:ea typeface="+mn-ea"/>
                              <a:cs typeface="+mn-cs"/>
                            </a:defRPr>
                          </a:lvl4pPr>
                          <a:lvl5pPr marL="1828800" algn="l" rtl="0" fontAlgn="base">
                            <a:spcBef>
                              <a:spcPct val="0"/>
                            </a:spcBef>
                            <a:spcAft>
                              <a:spcPct val="0"/>
                            </a:spcAft>
                            <a:defRPr kumimoji="1" sz="2000" kern="1200">
                              <a:solidFill>
                                <a:schemeClr val="lt1"/>
                              </a:solidFill>
                              <a:latin typeface="+mn-lt"/>
                              <a:ea typeface="+mn-ea"/>
                              <a:cs typeface="+mn-cs"/>
                            </a:defRPr>
                          </a:lvl5pPr>
                          <a:lvl6pPr marL="2286000" algn="l" defTabSz="457200" rtl="0" eaLnBrk="1" latinLnBrk="0" hangingPunct="1">
                            <a:defRPr kumimoji="1" sz="2000" kern="1200">
                              <a:solidFill>
                                <a:schemeClr val="lt1"/>
                              </a:solidFill>
                              <a:latin typeface="+mn-lt"/>
                              <a:ea typeface="+mn-ea"/>
                              <a:cs typeface="+mn-cs"/>
                            </a:defRPr>
                          </a:lvl6pPr>
                          <a:lvl7pPr marL="2743200" algn="l" defTabSz="457200" rtl="0" eaLnBrk="1" latinLnBrk="0" hangingPunct="1">
                            <a:defRPr kumimoji="1" sz="2000" kern="1200">
                              <a:solidFill>
                                <a:schemeClr val="lt1"/>
                              </a:solidFill>
                              <a:latin typeface="+mn-lt"/>
                              <a:ea typeface="+mn-ea"/>
                              <a:cs typeface="+mn-cs"/>
                            </a:defRPr>
                          </a:lvl7pPr>
                          <a:lvl8pPr marL="3200400" algn="l" defTabSz="457200" rtl="0" eaLnBrk="1" latinLnBrk="0" hangingPunct="1">
                            <a:defRPr kumimoji="1" sz="2000" kern="1200">
                              <a:solidFill>
                                <a:schemeClr val="lt1"/>
                              </a:solidFill>
                              <a:latin typeface="+mn-lt"/>
                              <a:ea typeface="+mn-ea"/>
                              <a:cs typeface="+mn-cs"/>
                            </a:defRPr>
                          </a:lvl8pPr>
                          <a:lvl9pPr marL="3657600" algn="l" defTabSz="457200" rtl="0" eaLnBrk="1" latinLnBrk="0" hangingPunct="1">
                            <a:defRPr kumimoji="1" sz="2000" kern="1200">
                              <a:solidFill>
                                <a:schemeClr val="lt1"/>
                              </a:solidFill>
                              <a:latin typeface="+mn-lt"/>
                              <a:ea typeface="+mn-ea"/>
                              <a:cs typeface="+mn-cs"/>
                            </a:defRPr>
                          </a:lvl9pPr>
                        </a:lstStyle>
                        <a:p>
                          <a:pPr algn="ctr"/>
                          <a:endParaRPr kumimoji="1" lang="ja-JP" altLang="en-US"/>
                        </a:p>
                      </a:txBody>
                      <a:useSpRect/>
                    </a:txSp>
                    <a:style>
                      <a:lnRef idx="1">
                        <a:schemeClr val="accent1"/>
                      </a:lnRef>
                      <a:fillRef idx="3">
                        <a:schemeClr val="accent1"/>
                      </a:fillRef>
                      <a:effectRef idx="2">
                        <a:schemeClr val="accent1"/>
                      </a:effectRef>
                      <a:fontRef idx="minor">
                        <a:schemeClr val="lt1"/>
                      </a:fontRef>
                    </a:style>
                  </a:sp>
                  <a:sp>
                    <a:nvSpPr>
                      <a:cNvPr id="18" name="テキスト ボックス 17"/>
                      <a:cNvSpPr txBox="1"/>
                    </a:nvSpPr>
                    <a:spPr>
                      <a:xfrm>
                        <a:off x="3301347" y="5802868"/>
                        <a:ext cx="3480453" cy="369332"/>
                      </a:xfrm>
                      <a:prstGeom prst="rect">
                        <a:avLst/>
                      </a:prstGeom>
                      <a:noFill/>
                    </a:spPr>
                    <a:txSp>
                      <a:txBody>
                        <a:bodyPr wrap="none" rtlCol="0">
                          <a:spAutoFit/>
                        </a:bodyPr>
                        <a:lstStyle>
                          <a:defPPr>
                            <a:defRPr lang="ja-JP"/>
                          </a:defPPr>
                          <a:lvl1pPr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1pPr>
                          <a:lvl2pPr marL="4572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2pPr>
                          <a:lvl3pPr marL="9144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3pPr>
                          <a:lvl4pPr marL="13716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4pPr>
                          <a:lvl5pPr marL="18288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5pPr>
                          <a:lvl6pPr marL="2286000" algn="l" defTabSz="457200" rtl="0" eaLnBrk="1" latinLnBrk="0" hangingPunct="1">
                            <a:defRPr kumimoji="1" sz="2000" kern="1200">
                              <a:solidFill>
                                <a:schemeClr val="tx1"/>
                              </a:solidFill>
                              <a:latin typeface="Arial" charset="0"/>
                              <a:ea typeface="ＭＳ ゴシック" charset="-128"/>
                              <a:cs typeface="ＭＳ ゴシック" charset="-128"/>
                            </a:defRPr>
                          </a:lvl6pPr>
                          <a:lvl7pPr marL="2743200" algn="l" defTabSz="457200" rtl="0" eaLnBrk="1" latinLnBrk="0" hangingPunct="1">
                            <a:defRPr kumimoji="1" sz="2000" kern="1200">
                              <a:solidFill>
                                <a:schemeClr val="tx1"/>
                              </a:solidFill>
                              <a:latin typeface="Arial" charset="0"/>
                              <a:ea typeface="ＭＳ ゴシック" charset="-128"/>
                              <a:cs typeface="ＭＳ ゴシック" charset="-128"/>
                            </a:defRPr>
                          </a:lvl7pPr>
                          <a:lvl8pPr marL="3200400" algn="l" defTabSz="457200" rtl="0" eaLnBrk="1" latinLnBrk="0" hangingPunct="1">
                            <a:defRPr kumimoji="1" sz="2000" kern="1200">
                              <a:solidFill>
                                <a:schemeClr val="tx1"/>
                              </a:solidFill>
                              <a:latin typeface="Arial" charset="0"/>
                              <a:ea typeface="ＭＳ ゴシック" charset="-128"/>
                              <a:cs typeface="ＭＳ ゴシック" charset="-128"/>
                            </a:defRPr>
                          </a:lvl8pPr>
                          <a:lvl9pPr marL="3657600" algn="l" defTabSz="457200" rtl="0" eaLnBrk="1" latinLnBrk="0" hangingPunct="1">
                            <a:defRPr kumimoji="1" sz="2000" kern="1200">
                              <a:solidFill>
                                <a:schemeClr val="tx1"/>
                              </a:solidFill>
                              <a:latin typeface="Arial" charset="0"/>
                              <a:ea typeface="ＭＳ ゴシック" charset="-128"/>
                              <a:cs typeface="ＭＳ ゴシック" charset="-128"/>
                            </a:defRPr>
                          </a:lvl9pPr>
                        </a:lstStyle>
                        <a:p>
                          <a:pPr algn="ctr"/>
                          <a:r>
                            <a:rPr lang="ja-JP" altLang="en-US" sz="1800" b="1" dirty="0" smtClean="0">
                              <a:solidFill>
                                <a:srgbClr val="FF0000"/>
                              </a:solidFill>
                              <a:latin typeface=""/>
                              <a:cs typeface=""/>
                            </a:rPr>
                            <a:t>静的</a:t>
                          </a:r>
                          <a:r>
                            <a:rPr lang="en-US" altLang="ja-JP" sz="1800" b="1" dirty="0" smtClean="0">
                              <a:solidFill>
                                <a:srgbClr val="FF0000"/>
                              </a:solidFill>
                              <a:latin typeface=""/>
                              <a:cs typeface=""/>
                            </a:rPr>
                            <a:t>/</a:t>
                          </a:r>
                          <a:r>
                            <a:rPr lang="ja-JP" altLang="en-US" sz="1800" b="1" dirty="0" smtClean="0">
                              <a:solidFill>
                                <a:srgbClr val="FF0000"/>
                              </a:solidFill>
                              <a:latin typeface=""/>
                              <a:cs typeface=""/>
                            </a:rPr>
                            <a:t>マクロ歪み用機械ステージ</a:t>
                          </a:r>
                          <a:endParaRPr kumimoji="1" lang="ja-JP" altLang="en-US" sz="1800" b="1" dirty="0">
                            <a:solidFill>
                              <a:srgbClr val="FF0000"/>
                            </a:solidFill>
                            <a:latin typeface=""/>
                            <a:cs typeface=""/>
                          </a:endParaRPr>
                        </a:p>
                      </a:txBody>
                      <a:useSpRect/>
                    </a:txSp>
                  </a:sp>
                  <a:sp>
                    <a:nvSpPr>
                      <a:cNvPr id="19" name="正方形/長方形 18"/>
                      <a:cNvSpPr/>
                    </a:nvSpPr>
                    <a:spPr>
                      <a:xfrm rot="2076102">
                        <a:off x="5552994" y="2871338"/>
                        <a:ext cx="452583" cy="153732"/>
                      </a:xfrm>
                      <a:prstGeom prst="rect">
                        <a:avLst/>
                      </a:prstGeom>
                      <a:solidFill>
                        <a:srgbClr val="FF6600"/>
                      </a:solidFill>
                      <a:effectLst/>
                    </a:spPr>
                    <a:txSp>
                      <a:txBody>
                        <a:bodyPr rtlCol="0" anchor="ctr"/>
                        <a:lstStyle>
                          <a:defPPr>
                            <a:defRPr lang="ja-JP"/>
                          </a:defPPr>
                          <a:lvl1pPr algn="l" rtl="0" fontAlgn="base">
                            <a:spcBef>
                              <a:spcPct val="0"/>
                            </a:spcBef>
                            <a:spcAft>
                              <a:spcPct val="0"/>
                            </a:spcAft>
                            <a:defRPr kumimoji="1" sz="2000" kern="1200">
                              <a:solidFill>
                                <a:schemeClr val="lt1"/>
                              </a:solidFill>
                              <a:latin typeface="+mn-lt"/>
                              <a:ea typeface="+mn-ea"/>
                              <a:cs typeface="+mn-cs"/>
                            </a:defRPr>
                          </a:lvl1pPr>
                          <a:lvl2pPr marL="457200" algn="l" rtl="0" fontAlgn="base">
                            <a:spcBef>
                              <a:spcPct val="0"/>
                            </a:spcBef>
                            <a:spcAft>
                              <a:spcPct val="0"/>
                            </a:spcAft>
                            <a:defRPr kumimoji="1" sz="2000" kern="1200">
                              <a:solidFill>
                                <a:schemeClr val="lt1"/>
                              </a:solidFill>
                              <a:latin typeface="+mn-lt"/>
                              <a:ea typeface="+mn-ea"/>
                              <a:cs typeface="+mn-cs"/>
                            </a:defRPr>
                          </a:lvl2pPr>
                          <a:lvl3pPr marL="914400" algn="l" rtl="0" fontAlgn="base">
                            <a:spcBef>
                              <a:spcPct val="0"/>
                            </a:spcBef>
                            <a:spcAft>
                              <a:spcPct val="0"/>
                            </a:spcAft>
                            <a:defRPr kumimoji="1" sz="2000" kern="1200">
                              <a:solidFill>
                                <a:schemeClr val="lt1"/>
                              </a:solidFill>
                              <a:latin typeface="+mn-lt"/>
                              <a:ea typeface="+mn-ea"/>
                              <a:cs typeface="+mn-cs"/>
                            </a:defRPr>
                          </a:lvl3pPr>
                          <a:lvl4pPr marL="1371600" algn="l" rtl="0" fontAlgn="base">
                            <a:spcBef>
                              <a:spcPct val="0"/>
                            </a:spcBef>
                            <a:spcAft>
                              <a:spcPct val="0"/>
                            </a:spcAft>
                            <a:defRPr kumimoji="1" sz="2000" kern="1200">
                              <a:solidFill>
                                <a:schemeClr val="lt1"/>
                              </a:solidFill>
                              <a:latin typeface="+mn-lt"/>
                              <a:ea typeface="+mn-ea"/>
                              <a:cs typeface="+mn-cs"/>
                            </a:defRPr>
                          </a:lvl4pPr>
                          <a:lvl5pPr marL="1828800" algn="l" rtl="0" fontAlgn="base">
                            <a:spcBef>
                              <a:spcPct val="0"/>
                            </a:spcBef>
                            <a:spcAft>
                              <a:spcPct val="0"/>
                            </a:spcAft>
                            <a:defRPr kumimoji="1" sz="2000" kern="1200">
                              <a:solidFill>
                                <a:schemeClr val="lt1"/>
                              </a:solidFill>
                              <a:latin typeface="+mn-lt"/>
                              <a:ea typeface="+mn-ea"/>
                              <a:cs typeface="+mn-cs"/>
                            </a:defRPr>
                          </a:lvl5pPr>
                          <a:lvl6pPr marL="2286000" algn="l" defTabSz="457200" rtl="0" eaLnBrk="1" latinLnBrk="0" hangingPunct="1">
                            <a:defRPr kumimoji="1" sz="2000" kern="1200">
                              <a:solidFill>
                                <a:schemeClr val="lt1"/>
                              </a:solidFill>
                              <a:latin typeface="+mn-lt"/>
                              <a:ea typeface="+mn-ea"/>
                              <a:cs typeface="+mn-cs"/>
                            </a:defRPr>
                          </a:lvl6pPr>
                          <a:lvl7pPr marL="2743200" algn="l" defTabSz="457200" rtl="0" eaLnBrk="1" latinLnBrk="0" hangingPunct="1">
                            <a:defRPr kumimoji="1" sz="2000" kern="1200">
                              <a:solidFill>
                                <a:schemeClr val="lt1"/>
                              </a:solidFill>
                              <a:latin typeface="+mn-lt"/>
                              <a:ea typeface="+mn-ea"/>
                              <a:cs typeface="+mn-cs"/>
                            </a:defRPr>
                          </a:lvl7pPr>
                          <a:lvl8pPr marL="3200400" algn="l" defTabSz="457200" rtl="0" eaLnBrk="1" latinLnBrk="0" hangingPunct="1">
                            <a:defRPr kumimoji="1" sz="2000" kern="1200">
                              <a:solidFill>
                                <a:schemeClr val="lt1"/>
                              </a:solidFill>
                              <a:latin typeface="+mn-lt"/>
                              <a:ea typeface="+mn-ea"/>
                              <a:cs typeface="+mn-cs"/>
                            </a:defRPr>
                          </a:lvl8pPr>
                          <a:lvl9pPr marL="3657600" algn="l" defTabSz="457200" rtl="0" eaLnBrk="1" latinLnBrk="0" hangingPunct="1">
                            <a:defRPr kumimoji="1" sz="2000" kern="1200">
                              <a:solidFill>
                                <a:schemeClr val="lt1"/>
                              </a:solidFill>
                              <a:latin typeface="+mn-lt"/>
                              <a:ea typeface="+mn-ea"/>
                              <a:cs typeface="+mn-cs"/>
                            </a:defRPr>
                          </a:lvl9pPr>
                        </a:lstStyle>
                        <a:p>
                          <a:pPr algn="ctr"/>
                          <a:endParaRPr kumimoji="1" lang="ja-JP" altLang="en-US"/>
                        </a:p>
                      </a:txBody>
                      <a:useSpRect/>
                    </a:txSp>
                    <a:style>
                      <a:lnRef idx="1">
                        <a:schemeClr val="accent1"/>
                      </a:lnRef>
                      <a:fillRef idx="3">
                        <a:schemeClr val="accent1"/>
                      </a:fillRef>
                      <a:effectRef idx="2">
                        <a:schemeClr val="accent1"/>
                      </a:effectRef>
                      <a:fontRef idx="minor">
                        <a:schemeClr val="lt1"/>
                      </a:fontRef>
                    </a:style>
                  </a:sp>
                  <a:sp>
                    <a:nvSpPr>
                      <a:cNvPr id="20" name="テキスト ボックス 19"/>
                      <a:cNvSpPr txBox="1"/>
                    </a:nvSpPr>
                    <a:spPr>
                      <a:xfrm>
                        <a:off x="6174573" y="2362200"/>
                        <a:ext cx="2249334" cy="369332"/>
                      </a:xfrm>
                      <a:prstGeom prst="rect">
                        <a:avLst/>
                      </a:prstGeom>
                      <a:noFill/>
                    </a:spPr>
                    <a:txSp>
                      <a:txBody>
                        <a:bodyPr wrap="none" rtlCol="0">
                          <a:spAutoFit/>
                        </a:bodyPr>
                        <a:lstStyle>
                          <a:defPPr>
                            <a:defRPr lang="ja-JP"/>
                          </a:defPPr>
                          <a:lvl1pPr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1pPr>
                          <a:lvl2pPr marL="4572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2pPr>
                          <a:lvl3pPr marL="9144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3pPr>
                          <a:lvl4pPr marL="13716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4pPr>
                          <a:lvl5pPr marL="18288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5pPr>
                          <a:lvl6pPr marL="2286000" algn="l" defTabSz="457200" rtl="0" eaLnBrk="1" latinLnBrk="0" hangingPunct="1">
                            <a:defRPr kumimoji="1" sz="2000" kern="1200">
                              <a:solidFill>
                                <a:schemeClr val="tx1"/>
                              </a:solidFill>
                              <a:latin typeface="Arial" charset="0"/>
                              <a:ea typeface="ＭＳ ゴシック" charset="-128"/>
                              <a:cs typeface="ＭＳ ゴシック" charset="-128"/>
                            </a:defRPr>
                          </a:lvl6pPr>
                          <a:lvl7pPr marL="2743200" algn="l" defTabSz="457200" rtl="0" eaLnBrk="1" latinLnBrk="0" hangingPunct="1">
                            <a:defRPr kumimoji="1" sz="2000" kern="1200">
                              <a:solidFill>
                                <a:schemeClr val="tx1"/>
                              </a:solidFill>
                              <a:latin typeface="Arial" charset="0"/>
                              <a:ea typeface="ＭＳ ゴシック" charset="-128"/>
                              <a:cs typeface="ＭＳ ゴシック" charset="-128"/>
                            </a:defRPr>
                          </a:lvl7pPr>
                          <a:lvl8pPr marL="3200400" algn="l" defTabSz="457200" rtl="0" eaLnBrk="1" latinLnBrk="0" hangingPunct="1">
                            <a:defRPr kumimoji="1" sz="2000" kern="1200">
                              <a:solidFill>
                                <a:schemeClr val="tx1"/>
                              </a:solidFill>
                              <a:latin typeface="Arial" charset="0"/>
                              <a:ea typeface="ＭＳ ゴシック" charset="-128"/>
                              <a:cs typeface="ＭＳ ゴシック" charset="-128"/>
                            </a:defRPr>
                          </a:lvl8pPr>
                          <a:lvl9pPr marL="3657600" algn="l" defTabSz="457200" rtl="0" eaLnBrk="1" latinLnBrk="0" hangingPunct="1">
                            <a:defRPr kumimoji="1" sz="2000" kern="1200">
                              <a:solidFill>
                                <a:schemeClr val="tx1"/>
                              </a:solidFill>
                              <a:latin typeface="Arial" charset="0"/>
                              <a:ea typeface="ＭＳ ゴシック" charset="-128"/>
                              <a:cs typeface="ＭＳ ゴシック" charset="-128"/>
                            </a:defRPr>
                          </a:lvl9pPr>
                        </a:lstStyle>
                        <a:p>
                          <a:pPr algn="ctr"/>
                          <a:r>
                            <a:rPr kumimoji="1" lang="ja-JP" altLang="en-US" sz="1800" b="1" dirty="0" smtClean="0">
                              <a:solidFill>
                                <a:srgbClr val="FF0000"/>
                              </a:solidFill>
                              <a:latin typeface=""/>
                              <a:cs typeface=""/>
                            </a:rPr>
                            <a:t>微小</a:t>
                          </a:r>
                          <a:r>
                            <a:rPr kumimoji="1" lang="ja-JP" altLang="en-US" sz="1800" b="1" dirty="0" smtClean="0">
                              <a:solidFill>
                                <a:srgbClr val="FF0000"/>
                              </a:solidFill>
                              <a:latin typeface=""/>
                              <a:cs typeface=""/>
                            </a:rPr>
                            <a:t>歪み用積層</a:t>
                          </a:r>
                          <a:r>
                            <a:rPr kumimoji="1" lang="en-US" altLang="ja-JP" sz="1800" b="1" dirty="0" smtClean="0">
                              <a:solidFill>
                                <a:srgbClr val="FF0000"/>
                              </a:solidFill>
                              <a:latin typeface=""/>
                              <a:cs typeface=""/>
                            </a:rPr>
                            <a:t>PZT</a:t>
                          </a:r>
                        </a:p>
                      </a:txBody>
                      <a:useSpRect/>
                    </a:txSp>
                  </a:sp>
                  <a:sp>
                    <a:nvSpPr>
                      <a:cNvPr id="21" name="円/楕円 20"/>
                      <a:cNvSpPr/>
                    </a:nvSpPr>
                    <a:spPr>
                      <a:xfrm>
                        <a:off x="5448133" y="2590800"/>
                        <a:ext cx="647867" cy="647867"/>
                      </a:xfrm>
                      <a:prstGeom prst="ellipse">
                        <a:avLst/>
                      </a:prstGeom>
                      <a:noFill/>
                      <a:ln w="50800">
                        <a:solidFill>
                          <a:srgbClr val="FF0000"/>
                        </a:solidFill>
                        <a:prstDash val="dash"/>
                      </a:ln>
                      <a:effectLst/>
                    </a:spPr>
                    <a:txSp>
                      <a:txBody>
                        <a:bodyPr rtlCol="0" anchor="ctr"/>
                        <a:lstStyle>
                          <a:defPPr>
                            <a:defRPr lang="ja-JP"/>
                          </a:defPPr>
                          <a:lvl1pPr algn="l" rtl="0" fontAlgn="base">
                            <a:spcBef>
                              <a:spcPct val="0"/>
                            </a:spcBef>
                            <a:spcAft>
                              <a:spcPct val="0"/>
                            </a:spcAft>
                            <a:defRPr kumimoji="1" sz="2000" kern="1200">
                              <a:solidFill>
                                <a:schemeClr val="lt1"/>
                              </a:solidFill>
                              <a:latin typeface="+mn-lt"/>
                              <a:ea typeface="+mn-ea"/>
                              <a:cs typeface="+mn-cs"/>
                            </a:defRPr>
                          </a:lvl1pPr>
                          <a:lvl2pPr marL="457200" algn="l" rtl="0" fontAlgn="base">
                            <a:spcBef>
                              <a:spcPct val="0"/>
                            </a:spcBef>
                            <a:spcAft>
                              <a:spcPct val="0"/>
                            </a:spcAft>
                            <a:defRPr kumimoji="1" sz="2000" kern="1200">
                              <a:solidFill>
                                <a:schemeClr val="lt1"/>
                              </a:solidFill>
                              <a:latin typeface="+mn-lt"/>
                              <a:ea typeface="+mn-ea"/>
                              <a:cs typeface="+mn-cs"/>
                            </a:defRPr>
                          </a:lvl2pPr>
                          <a:lvl3pPr marL="914400" algn="l" rtl="0" fontAlgn="base">
                            <a:spcBef>
                              <a:spcPct val="0"/>
                            </a:spcBef>
                            <a:spcAft>
                              <a:spcPct val="0"/>
                            </a:spcAft>
                            <a:defRPr kumimoji="1" sz="2000" kern="1200">
                              <a:solidFill>
                                <a:schemeClr val="lt1"/>
                              </a:solidFill>
                              <a:latin typeface="+mn-lt"/>
                              <a:ea typeface="+mn-ea"/>
                              <a:cs typeface="+mn-cs"/>
                            </a:defRPr>
                          </a:lvl3pPr>
                          <a:lvl4pPr marL="1371600" algn="l" rtl="0" fontAlgn="base">
                            <a:spcBef>
                              <a:spcPct val="0"/>
                            </a:spcBef>
                            <a:spcAft>
                              <a:spcPct val="0"/>
                            </a:spcAft>
                            <a:defRPr kumimoji="1" sz="2000" kern="1200">
                              <a:solidFill>
                                <a:schemeClr val="lt1"/>
                              </a:solidFill>
                              <a:latin typeface="+mn-lt"/>
                              <a:ea typeface="+mn-ea"/>
                              <a:cs typeface="+mn-cs"/>
                            </a:defRPr>
                          </a:lvl4pPr>
                          <a:lvl5pPr marL="1828800" algn="l" rtl="0" fontAlgn="base">
                            <a:spcBef>
                              <a:spcPct val="0"/>
                            </a:spcBef>
                            <a:spcAft>
                              <a:spcPct val="0"/>
                            </a:spcAft>
                            <a:defRPr kumimoji="1" sz="2000" kern="1200">
                              <a:solidFill>
                                <a:schemeClr val="lt1"/>
                              </a:solidFill>
                              <a:latin typeface="+mn-lt"/>
                              <a:ea typeface="+mn-ea"/>
                              <a:cs typeface="+mn-cs"/>
                            </a:defRPr>
                          </a:lvl5pPr>
                          <a:lvl6pPr marL="2286000" algn="l" defTabSz="457200" rtl="0" eaLnBrk="1" latinLnBrk="0" hangingPunct="1">
                            <a:defRPr kumimoji="1" sz="2000" kern="1200">
                              <a:solidFill>
                                <a:schemeClr val="lt1"/>
                              </a:solidFill>
                              <a:latin typeface="+mn-lt"/>
                              <a:ea typeface="+mn-ea"/>
                              <a:cs typeface="+mn-cs"/>
                            </a:defRPr>
                          </a:lvl6pPr>
                          <a:lvl7pPr marL="2743200" algn="l" defTabSz="457200" rtl="0" eaLnBrk="1" latinLnBrk="0" hangingPunct="1">
                            <a:defRPr kumimoji="1" sz="2000" kern="1200">
                              <a:solidFill>
                                <a:schemeClr val="lt1"/>
                              </a:solidFill>
                              <a:latin typeface="+mn-lt"/>
                              <a:ea typeface="+mn-ea"/>
                              <a:cs typeface="+mn-cs"/>
                            </a:defRPr>
                          </a:lvl7pPr>
                          <a:lvl8pPr marL="3200400" algn="l" defTabSz="457200" rtl="0" eaLnBrk="1" latinLnBrk="0" hangingPunct="1">
                            <a:defRPr kumimoji="1" sz="2000" kern="1200">
                              <a:solidFill>
                                <a:schemeClr val="lt1"/>
                              </a:solidFill>
                              <a:latin typeface="+mn-lt"/>
                              <a:ea typeface="+mn-ea"/>
                              <a:cs typeface="+mn-cs"/>
                            </a:defRPr>
                          </a:lvl8pPr>
                          <a:lvl9pPr marL="3657600" algn="l" defTabSz="457200" rtl="0" eaLnBrk="1" latinLnBrk="0" hangingPunct="1">
                            <a:defRPr kumimoji="1" sz="2000" kern="1200">
                              <a:solidFill>
                                <a:schemeClr val="lt1"/>
                              </a:solidFill>
                              <a:latin typeface="+mn-lt"/>
                              <a:ea typeface="+mn-ea"/>
                              <a:cs typeface="+mn-cs"/>
                            </a:defRPr>
                          </a:lvl9pPr>
                        </a:lstStyle>
                        <a:p>
                          <a:pPr algn="ctr"/>
                          <a:endParaRPr kumimoji="1" lang="ja-JP" altLang="en-US"/>
                        </a:p>
                      </a:txBody>
                      <a:useSpRect/>
                    </a:txSp>
                    <a:style>
                      <a:lnRef idx="1">
                        <a:schemeClr val="accent1"/>
                      </a:lnRef>
                      <a:fillRef idx="3">
                        <a:schemeClr val="accent1"/>
                      </a:fillRef>
                      <a:effectRef idx="2">
                        <a:schemeClr val="accent1"/>
                      </a:effectRef>
                      <a:fontRef idx="minor">
                        <a:schemeClr val="lt1"/>
                      </a:fontRef>
                    </a:style>
                  </a:sp>
                  <a:sp>
                    <a:nvSpPr>
                      <a:cNvPr id="22" name="テキスト ボックス 21"/>
                      <a:cNvSpPr txBox="1"/>
                    </a:nvSpPr>
                    <a:spPr>
                      <a:xfrm>
                        <a:off x="5105400" y="1600200"/>
                        <a:ext cx="1295400" cy="338554"/>
                      </a:xfrm>
                      <a:prstGeom prst="rect">
                        <a:avLst/>
                      </a:prstGeom>
                      <a:solidFill>
                        <a:schemeClr val="bg1"/>
                      </a:solidFill>
                      <a:ln w="19050" cmpd="sng">
                        <a:solidFill>
                          <a:schemeClr val="tx1"/>
                        </a:solidFill>
                      </a:ln>
                    </a:spPr>
                    <a:txSp>
                      <a:txBody>
                        <a:bodyPr wrap="square" rtlCol="0">
                          <a:spAutoFit/>
                        </a:bodyPr>
                        <a:lstStyle>
                          <a:defPPr>
                            <a:defRPr lang="ja-JP"/>
                          </a:defPPr>
                          <a:lvl1pPr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1pPr>
                          <a:lvl2pPr marL="4572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2pPr>
                          <a:lvl3pPr marL="9144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3pPr>
                          <a:lvl4pPr marL="13716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4pPr>
                          <a:lvl5pPr marL="18288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5pPr>
                          <a:lvl6pPr marL="2286000" algn="l" defTabSz="457200" rtl="0" eaLnBrk="1" latinLnBrk="0" hangingPunct="1">
                            <a:defRPr kumimoji="1" sz="2000" kern="1200">
                              <a:solidFill>
                                <a:schemeClr val="tx1"/>
                              </a:solidFill>
                              <a:latin typeface="Arial" charset="0"/>
                              <a:ea typeface="ＭＳ ゴシック" charset="-128"/>
                              <a:cs typeface="ＭＳ ゴシック" charset="-128"/>
                            </a:defRPr>
                          </a:lvl6pPr>
                          <a:lvl7pPr marL="2743200" algn="l" defTabSz="457200" rtl="0" eaLnBrk="1" latinLnBrk="0" hangingPunct="1">
                            <a:defRPr kumimoji="1" sz="2000" kern="1200">
                              <a:solidFill>
                                <a:schemeClr val="tx1"/>
                              </a:solidFill>
                              <a:latin typeface="Arial" charset="0"/>
                              <a:ea typeface="ＭＳ ゴシック" charset="-128"/>
                              <a:cs typeface="ＭＳ ゴシック" charset="-128"/>
                            </a:defRPr>
                          </a:lvl7pPr>
                          <a:lvl8pPr marL="3200400" algn="l" defTabSz="457200" rtl="0" eaLnBrk="1" latinLnBrk="0" hangingPunct="1">
                            <a:defRPr kumimoji="1" sz="2000" kern="1200">
                              <a:solidFill>
                                <a:schemeClr val="tx1"/>
                              </a:solidFill>
                              <a:latin typeface="Arial" charset="0"/>
                              <a:ea typeface="ＭＳ ゴシック" charset="-128"/>
                              <a:cs typeface="ＭＳ ゴシック" charset="-128"/>
                            </a:defRPr>
                          </a:lvl8pPr>
                          <a:lvl9pPr marL="3657600" algn="l" defTabSz="457200" rtl="0" eaLnBrk="1" latinLnBrk="0" hangingPunct="1">
                            <a:defRPr kumimoji="1" sz="2000" kern="1200">
                              <a:solidFill>
                                <a:schemeClr val="tx1"/>
                              </a:solidFill>
                              <a:latin typeface="Arial" charset="0"/>
                              <a:ea typeface="ＭＳ ゴシック" charset="-128"/>
                              <a:cs typeface="ＭＳ ゴシック" charset="-128"/>
                            </a:defRPr>
                          </a:lvl9pPr>
                        </a:lstStyle>
                        <a:p>
                          <a:pPr algn="ctr"/>
                          <a:r>
                            <a:rPr lang="en-US" altLang="ja-JP" sz="1600" b="1" dirty="0" smtClean="0"/>
                            <a:t>PZT driver</a:t>
                          </a:r>
                          <a:endParaRPr kumimoji="1" lang="ja-JP" altLang="en-US" sz="1600" b="1" dirty="0"/>
                        </a:p>
                      </a:txBody>
                      <a:useSpRect/>
                    </a:txSp>
                  </a:sp>
                  <a:cxnSp>
                    <a:nvCxnSpPr>
                      <a:cNvPr id="23" name="直線矢印コネクタ 22"/>
                      <a:cNvCxnSpPr/>
                    </a:nvCxnSpPr>
                    <a:spPr>
                      <a:xfrm rot="5400000">
                        <a:off x="5295902" y="2400300"/>
                        <a:ext cx="990600" cy="1"/>
                      </a:xfrm>
                      <a:prstGeom prst="straightConnector1">
                        <a:avLst/>
                      </a:prstGeom>
                      <a:ln w="25400">
                        <a:solidFill>
                          <a:schemeClr val="tx1"/>
                        </a:solidFill>
                        <a:tailEnd type="arrow"/>
                      </a:ln>
                      <a:effectLst/>
                    </a:spPr>
                    <a:style>
                      <a:lnRef idx="2">
                        <a:schemeClr val="accent1"/>
                      </a:lnRef>
                      <a:fillRef idx="0">
                        <a:schemeClr val="accent1"/>
                      </a:fillRef>
                      <a:effectRef idx="1">
                        <a:schemeClr val="accent1"/>
                      </a:effectRef>
                      <a:fontRef idx="minor">
                        <a:schemeClr val="tx1"/>
                      </a:fontRef>
                    </a:style>
                  </a:cxnSp>
                  <a:sp>
                    <a:nvSpPr>
                      <a:cNvPr id="32" name="テキスト ボックス 31"/>
                      <a:cNvSpPr txBox="1"/>
                    </a:nvSpPr>
                    <a:spPr>
                      <a:xfrm>
                        <a:off x="-126325" y="4400490"/>
                        <a:ext cx="2031325" cy="400110"/>
                      </a:xfrm>
                      <a:prstGeom prst="rect">
                        <a:avLst/>
                      </a:prstGeom>
                      <a:noFill/>
                    </a:spPr>
                    <a:txSp>
                      <a:txBody>
                        <a:bodyPr wrap="square" rtlCol="0">
                          <a:spAutoFit/>
                        </a:bodyPr>
                        <a:lstStyle>
                          <a:defPPr>
                            <a:defRPr lang="ja-JP"/>
                          </a:defPPr>
                          <a:lvl1pPr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1pPr>
                          <a:lvl2pPr marL="4572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2pPr>
                          <a:lvl3pPr marL="9144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3pPr>
                          <a:lvl4pPr marL="13716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4pPr>
                          <a:lvl5pPr marL="18288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5pPr>
                          <a:lvl6pPr marL="2286000" algn="l" defTabSz="457200" rtl="0" eaLnBrk="1" latinLnBrk="0" hangingPunct="1">
                            <a:defRPr kumimoji="1" sz="2000" kern="1200">
                              <a:solidFill>
                                <a:schemeClr val="tx1"/>
                              </a:solidFill>
                              <a:latin typeface="Arial" charset="0"/>
                              <a:ea typeface="ＭＳ ゴシック" charset="-128"/>
                              <a:cs typeface="ＭＳ ゴシック" charset="-128"/>
                            </a:defRPr>
                          </a:lvl6pPr>
                          <a:lvl7pPr marL="2743200" algn="l" defTabSz="457200" rtl="0" eaLnBrk="1" latinLnBrk="0" hangingPunct="1">
                            <a:defRPr kumimoji="1" sz="2000" kern="1200">
                              <a:solidFill>
                                <a:schemeClr val="tx1"/>
                              </a:solidFill>
                              <a:latin typeface="Arial" charset="0"/>
                              <a:ea typeface="ＭＳ ゴシック" charset="-128"/>
                              <a:cs typeface="ＭＳ ゴシック" charset="-128"/>
                            </a:defRPr>
                          </a:lvl7pPr>
                          <a:lvl8pPr marL="3200400" algn="l" defTabSz="457200" rtl="0" eaLnBrk="1" latinLnBrk="0" hangingPunct="1">
                            <a:defRPr kumimoji="1" sz="2000" kern="1200">
                              <a:solidFill>
                                <a:schemeClr val="tx1"/>
                              </a:solidFill>
                              <a:latin typeface="Arial" charset="0"/>
                              <a:ea typeface="ＭＳ ゴシック" charset="-128"/>
                              <a:cs typeface="ＭＳ ゴシック" charset="-128"/>
                            </a:defRPr>
                          </a:lvl8pPr>
                          <a:lvl9pPr marL="3657600" algn="l" defTabSz="457200" rtl="0" eaLnBrk="1" latinLnBrk="0" hangingPunct="1">
                            <a:defRPr kumimoji="1" sz="2000" kern="1200">
                              <a:solidFill>
                                <a:schemeClr val="tx1"/>
                              </a:solidFill>
                              <a:latin typeface="Arial" charset="0"/>
                              <a:ea typeface="ＭＳ ゴシック" charset="-128"/>
                              <a:cs typeface="ＭＳ ゴシック" charset="-128"/>
                            </a:defRPr>
                          </a:lvl9pPr>
                        </a:lstStyle>
                        <a:p>
                          <a:pPr algn="ctr"/>
                          <a:r>
                            <a:rPr lang="ja-JP" altLang="en-US" b="1" dirty="0" smtClean="0">
                              <a:solidFill>
                                <a:srgbClr val="0000FF"/>
                              </a:solidFill>
                              <a:latin typeface=""/>
                              <a:cs typeface=""/>
                            </a:rPr>
                            <a:t>静的</a:t>
                          </a:r>
                          <a:r>
                            <a:rPr kumimoji="1" lang="ja-JP" altLang="en-US" b="1" dirty="0" smtClean="0">
                              <a:solidFill>
                                <a:srgbClr val="0000FF"/>
                              </a:solidFill>
                              <a:latin typeface=""/>
                              <a:cs typeface=""/>
                            </a:rPr>
                            <a:t>歪み</a:t>
                          </a:r>
                          <a:r>
                            <a:rPr lang="ja-JP" altLang="en-US" b="1" dirty="0" smtClean="0">
                              <a:solidFill>
                                <a:srgbClr val="0000FF"/>
                              </a:solidFill>
                              <a:latin typeface=""/>
                              <a:cs typeface=""/>
                            </a:rPr>
                            <a:t>計測</a:t>
                          </a:r>
                          <a:endParaRPr kumimoji="1" lang="en-US" altLang="ja-JP" b="1" dirty="0" smtClean="0">
                            <a:solidFill>
                              <a:srgbClr val="0000FF"/>
                            </a:solidFill>
                            <a:latin typeface=""/>
                            <a:cs typeface=""/>
                          </a:endParaRPr>
                        </a:p>
                      </a:txBody>
                      <a:useSpRect/>
                    </a:txSp>
                  </a:sp>
                  <a:cxnSp>
                    <a:nvCxnSpPr>
                      <a:cNvPr id="33" name="直線コネクタ 32"/>
                      <a:cNvCxnSpPr/>
                    </a:nvCxnSpPr>
                    <a:spPr>
                      <a:xfrm rot="10800000">
                        <a:off x="1752600" y="4230690"/>
                        <a:ext cx="381000" cy="1588"/>
                      </a:xfrm>
                      <a:prstGeom prst="line">
                        <a:avLst/>
                      </a:prstGeom>
                      <a:ln w="25400" cmpd="sng">
                        <a:solidFill>
                          <a:schemeClr val="tx1"/>
                        </a:solidFill>
                        <a:headEnd type="none"/>
                        <a:tailEnd type="arrow"/>
                      </a:ln>
                    </a:spPr>
                    <a:style>
                      <a:lnRef idx="1">
                        <a:schemeClr val="accent1"/>
                      </a:lnRef>
                      <a:fillRef idx="0">
                        <a:schemeClr val="accent1"/>
                      </a:fillRef>
                      <a:effectRef idx="0">
                        <a:schemeClr val="accent1"/>
                      </a:effectRef>
                      <a:fontRef idx="minor">
                        <a:schemeClr val="tx1"/>
                      </a:fontRef>
                    </a:style>
                  </a:cxnSp>
                  <a:sp>
                    <a:nvSpPr>
                      <a:cNvPr id="34" name="テキスト ボックス 33"/>
                      <a:cNvSpPr txBox="1"/>
                    </a:nvSpPr>
                    <a:spPr>
                      <a:xfrm>
                        <a:off x="0" y="4038600"/>
                        <a:ext cx="1778303" cy="369332"/>
                      </a:xfrm>
                      <a:prstGeom prst="rect">
                        <a:avLst/>
                      </a:prstGeom>
                      <a:solidFill>
                        <a:srgbClr val="0000FF"/>
                      </a:solidFill>
                      <a:ln w="19050" cmpd="sng">
                        <a:solidFill>
                          <a:schemeClr val="tx1"/>
                        </a:solidFill>
                      </a:ln>
                    </a:spPr>
                    <a:txSp>
                      <a:txBody>
                        <a:bodyPr wrap="square" rtlCol="0">
                          <a:spAutoFit/>
                        </a:bodyPr>
                        <a:lstStyle>
                          <a:defPPr>
                            <a:defRPr lang="ja-JP"/>
                          </a:defPPr>
                          <a:lvl1pPr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1pPr>
                          <a:lvl2pPr marL="4572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2pPr>
                          <a:lvl3pPr marL="9144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3pPr>
                          <a:lvl4pPr marL="13716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4pPr>
                          <a:lvl5pPr marL="1828800" algn="l" rtl="0" fontAlgn="base">
                            <a:spcBef>
                              <a:spcPct val="0"/>
                            </a:spcBef>
                            <a:spcAft>
                              <a:spcPct val="0"/>
                            </a:spcAft>
                            <a:defRPr kumimoji="1" sz="2000" kern="1200">
                              <a:solidFill>
                                <a:schemeClr val="tx1"/>
                              </a:solidFill>
                              <a:latin typeface="Arial" charset="0"/>
                              <a:ea typeface="ＭＳ ゴシック" charset="-128"/>
                              <a:cs typeface="ＭＳ ゴシック" charset="-128"/>
                            </a:defRPr>
                          </a:lvl5pPr>
                          <a:lvl6pPr marL="2286000" algn="l" defTabSz="457200" rtl="0" eaLnBrk="1" latinLnBrk="0" hangingPunct="1">
                            <a:defRPr kumimoji="1" sz="2000" kern="1200">
                              <a:solidFill>
                                <a:schemeClr val="tx1"/>
                              </a:solidFill>
                              <a:latin typeface="Arial" charset="0"/>
                              <a:ea typeface="ＭＳ ゴシック" charset="-128"/>
                              <a:cs typeface="ＭＳ ゴシック" charset="-128"/>
                            </a:defRPr>
                          </a:lvl6pPr>
                          <a:lvl7pPr marL="2743200" algn="l" defTabSz="457200" rtl="0" eaLnBrk="1" latinLnBrk="0" hangingPunct="1">
                            <a:defRPr kumimoji="1" sz="2000" kern="1200">
                              <a:solidFill>
                                <a:schemeClr val="tx1"/>
                              </a:solidFill>
                              <a:latin typeface="Arial" charset="0"/>
                              <a:ea typeface="ＭＳ ゴシック" charset="-128"/>
                              <a:cs typeface="ＭＳ ゴシック" charset="-128"/>
                            </a:defRPr>
                          </a:lvl7pPr>
                          <a:lvl8pPr marL="3200400" algn="l" defTabSz="457200" rtl="0" eaLnBrk="1" latinLnBrk="0" hangingPunct="1">
                            <a:defRPr kumimoji="1" sz="2000" kern="1200">
                              <a:solidFill>
                                <a:schemeClr val="tx1"/>
                              </a:solidFill>
                              <a:latin typeface="Arial" charset="0"/>
                              <a:ea typeface="ＭＳ ゴシック" charset="-128"/>
                              <a:cs typeface="ＭＳ ゴシック" charset="-128"/>
                            </a:defRPr>
                          </a:lvl8pPr>
                          <a:lvl9pPr marL="3657600" algn="l" defTabSz="457200" rtl="0" eaLnBrk="1" latinLnBrk="0" hangingPunct="1">
                            <a:defRPr kumimoji="1" sz="2000" kern="1200">
                              <a:solidFill>
                                <a:schemeClr val="tx1"/>
                              </a:solidFill>
                              <a:latin typeface="Arial" charset="0"/>
                              <a:ea typeface="ＭＳ ゴシック" charset="-128"/>
                              <a:cs typeface="ＭＳ ゴシック" charset="-128"/>
                            </a:defRPr>
                          </a:lvl9pPr>
                        </a:lstStyle>
                        <a:p>
                          <a:pPr algn="ctr"/>
                          <a:r>
                            <a:rPr lang="en-US" altLang="ja-JP" sz="1800" b="1" dirty="0" smtClean="0">
                              <a:solidFill>
                                <a:schemeClr val="bg1"/>
                              </a:solidFill>
                            </a:rPr>
                            <a:t>Oscilloscope</a:t>
                          </a:r>
                          <a:endParaRPr kumimoji="1" lang="ja-JP" altLang="en-US" sz="1800" b="1" dirty="0">
                            <a:solidFill>
                              <a:schemeClr val="bg1"/>
                            </a:solidFill>
                          </a:endParaRPr>
                        </a:p>
                      </a:txBody>
                      <a:useSpRect/>
                    </a:txSp>
                  </a:sp>
                </lc:lockedCanvas>
              </a:graphicData>
            </a:graphic>
          </wp:inline>
        </w:drawing>
      </w:r>
    </w:p>
    <w:p w:rsidR="007C3AD1" w:rsidRDefault="00393D2B" w:rsidP="00393D2B">
      <w:pPr>
        <w:jc w:val="center"/>
        <w:rPr>
          <w:sz w:val="24"/>
        </w:rPr>
      </w:pPr>
      <w:r w:rsidRPr="00393D2B">
        <w:rPr>
          <w:sz w:val="24"/>
        </w:rPr>
        <w:drawing>
          <wp:inline distT="0" distB="0" distL="0" distR="0">
            <wp:extent cx="6118217" cy="3634451"/>
            <wp:effectExtent l="25400" t="0" r="3183"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ve:AlternateContent>
                    <ve:Choice xmlns:ma="http://schemas.microsoft.com/office/mac/drawingml/2008/main" Requires="ma">
                      <pic:blipFill>
                        <a:blip r:embed="rId18"/>
                        <a:srcRect/>
                        <a:stretch>
                          <a:fillRect/>
                        </a:stretch>
                      </pic:blipFill>
                    </ve:Choice>
                    <ve:Fallback>
                      <pic:blipFill>
                        <a:blip r:embed="rId19"/>
                        <a:srcRect/>
                        <a:stretch>
                          <a:fillRect/>
                        </a:stretch>
                      </pic:blipFill>
                    </ve:Fallback>
                  </ve:AlternateContent>
                  <pic:spPr bwMode="auto">
                    <a:xfrm>
                      <a:off x="0" y="0"/>
                      <a:ext cx="6118860" cy="3635375"/>
                    </a:xfrm>
                    <a:prstGeom prst="rect">
                      <a:avLst/>
                    </a:prstGeom>
                    <a:noFill/>
                    <a:ln w="9525">
                      <a:noFill/>
                      <a:miter lim="800000"/>
                      <a:headEnd/>
                      <a:tailEnd/>
                    </a:ln>
                  </pic:spPr>
                </pic:pic>
              </a:graphicData>
            </a:graphic>
          </wp:inline>
        </w:drawing>
      </w:r>
      <w:r w:rsidR="001144E3">
        <w:rPr>
          <w:rFonts w:hint="eastAsia"/>
          <w:sz w:val="24"/>
        </w:rPr>
        <w:t>図</w:t>
      </w:r>
      <w:r>
        <w:rPr>
          <w:sz w:val="24"/>
        </w:rPr>
        <w:t>10</w:t>
      </w:r>
      <w:r w:rsidR="001144E3">
        <w:rPr>
          <w:sz w:val="24"/>
        </w:rPr>
        <w:t xml:space="preserve"> </w:t>
      </w:r>
      <w:r>
        <w:rPr>
          <w:rFonts w:hint="eastAsia"/>
          <w:sz w:val="24"/>
        </w:rPr>
        <w:t>静的ひずみ評価</w:t>
      </w:r>
    </w:p>
    <w:p w:rsidR="00C20E41" w:rsidRPr="0016665A" w:rsidRDefault="00C20E41" w:rsidP="00C20E41">
      <w:pPr>
        <w:pStyle w:val="ab"/>
        <w:numPr>
          <w:ilvl w:val="0"/>
          <w:numId w:val="8"/>
        </w:numPr>
        <w:ind w:leftChars="0"/>
        <w:rPr>
          <w:rFonts w:asciiTheme="majorEastAsia" w:eastAsiaTheme="majorEastAsia" w:hAnsiTheme="majorEastAsia"/>
          <w:b/>
          <w:sz w:val="24"/>
        </w:rPr>
      </w:pPr>
      <w:r>
        <w:rPr>
          <w:rFonts w:asciiTheme="majorEastAsia" w:eastAsiaTheme="majorEastAsia" w:hAnsiTheme="majorEastAsia" w:hint="eastAsia"/>
          <w:b/>
          <w:sz w:val="24"/>
        </w:rPr>
        <w:t>歪みセンシング光コム動的ひずみ特性</w:t>
      </w:r>
    </w:p>
    <w:p w:rsidR="00C20E41" w:rsidRDefault="00C20E41" w:rsidP="0016665A">
      <w:pPr>
        <w:rPr>
          <w:sz w:val="24"/>
        </w:rPr>
      </w:pPr>
      <w:r>
        <w:rPr>
          <w:rFonts w:hint="eastAsia"/>
          <w:sz w:val="24"/>
        </w:rPr>
        <w:t xml:space="preserve">　</w:t>
      </w:r>
      <w:r w:rsidRPr="00C20E41">
        <w:rPr>
          <w:rFonts w:hint="eastAsia"/>
          <w:sz w:val="24"/>
        </w:rPr>
        <w:t>図</w:t>
      </w:r>
      <w:r w:rsidR="00393D2B">
        <w:rPr>
          <w:sz w:val="24"/>
        </w:rPr>
        <w:t>11</w:t>
      </w:r>
      <w:r>
        <w:rPr>
          <w:rFonts w:hint="eastAsia"/>
          <w:sz w:val="24"/>
        </w:rPr>
        <w:t>に動的ひずみ特性セットアップを示す。積層</w:t>
      </w:r>
      <w:r>
        <w:rPr>
          <w:sz w:val="24"/>
        </w:rPr>
        <w:t>PZT</w:t>
      </w:r>
      <w:r>
        <w:rPr>
          <w:rFonts w:hint="eastAsia"/>
          <w:sz w:val="24"/>
        </w:rPr>
        <w:t>のドライバーにファンクションジェネレータから周期的信号を加え、ロックインアンプで電圧信号を計測した。その結果周波数応答は</w:t>
      </w:r>
      <w:r>
        <w:rPr>
          <w:sz w:val="24"/>
        </w:rPr>
        <w:t>200Hz</w:t>
      </w:r>
      <w:r>
        <w:rPr>
          <w:rFonts w:hint="eastAsia"/>
          <w:sz w:val="24"/>
        </w:rPr>
        <w:t>となった。これは、光コムの特性とほぼ一致するため、制御用</w:t>
      </w:r>
      <w:r>
        <w:rPr>
          <w:sz w:val="24"/>
        </w:rPr>
        <w:t>PZT</w:t>
      </w:r>
      <w:r>
        <w:rPr>
          <w:rFonts w:hint="eastAsia"/>
          <w:sz w:val="24"/>
        </w:rPr>
        <w:t>によって制限されていると考える</w:t>
      </w:r>
    </w:p>
    <w:p w:rsidR="00C20E41" w:rsidRPr="00C20E41" w:rsidRDefault="00C20E41" w:rsidP="00C20E41">
      <w:pPr>
        <w:jc w:val="center"/>
        <w:rPr>
          <w:sz w:val="24"/>
        </w:rPr>
      </w:pPr>
      <w:r w:rsidRPr="00C20E41">
        <w:rPr>
          <w:noProof/>
        </w:rPr>
        <w:drawing>
          <wp:anchor distT="0" distB="0" distL="114300" distR="114300" simplePos="0" relativeHeight="251670528" behindDoc="0" locked="0" layoutInCell="1" allowOverlap="1">
            <wp:simplePos x="0" y="0"/>
            <wp:positionH relativeFrom="column">
              <wp:posOffset>0</wp:posOffset>
            </wp:positionH>
            <wp:positionV relativeFrom="paragraph">
              <wp:posOffset>0</wp:posOffset>
            </wp:positionV>
            <wp:extent cx="6115685" cy="3187065"/>
            <wp:effectExtent l="25400" t="0" r="5715" b="0"/>
            <wp:wrapTight wrapText="bothSides">
              <wp:wrapPolygon edited="0">
                <wp:start x="-90" y="0"/>
                <wp:lineTo x="-90" y="21518"/>
                <wp:lineTo x="21620" y="21518"/>
                <wp:lineTo x="21620" y="0"/>
                <wp:lineTo x="-90" y="0"/>
              </wp:wrapPolygon>
            </wp:wrapTight>
            <wp:docPr id="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6115685" cy="3187065"/>
                    </a:xfrm>
                    <a:prstGeom prst="rect">
                      <a:avLst/>
                    </a:prstGeom>
                    <a:noFill/>
                    <a:ln w="9525">
                      <a:noFill/>
                      <a:miter lim="800000"/>
                      <a:headEnd/>
                      <a:tailEnd/>
                    </a:ln>
                  </pic:spPr>
                </pic:pic>
              </a:graphicData>
            </a:graphic>
          </wp:anchor>
        </w:drawing>
      </w:r>
      <w:r>
        <w:rPr>
          <w:rFonts w:hint="eastAsia"/>
          <w:sz w:val="24"/>
        </w:rPr>
        <w:t>図</w:t>
      </w:r>
      <w:r w:rsidR="00393D2B">
        <w:rPr>
          <w:sz w:val="24"/>
        </w:rPr>
        <w:t>11</w:t>
      </w:r>
      <w:r>
        <w:rPr>
          <w:sz w:val="24"/>
        </w:rPr>
        <w:t xml:space="preserve"> </w:t>
      </w:r>
      <w:r>
        <w:rPr>
          <w:rFonts w:hint="eastAsia"/>
          <w:sz w:val="24"/>
        </w:rPr>
        <w:t>動的ひずみ評価</w:t>
      </w:r>
    </w:p>
    <w:p w:rsidR="007C3AD1" w:rsidRPr="00C20E41" w:rsidRDefault="007C3AD1" w:rsidP="0016665A">
      <w:pPr>
        <w:rPr>
          <w:sz w:val="24"/>
          <w:u w:val="single"/>
        </w:rPr>
      </w:pPr>
    </w:p>
    <w:p w:rsidR="00C20E41" w:rsidRPr="0016665A" w:rsidRDefault="00C20E41" w:rsidP="00C20E41">
      <w:pPr>
        <w:pStyle w:val="ab"/>
        <w:numPr>
          <w:ilvl w:val="0"/>
          <w:numId w:val="8"/>
        </w:numPr>
        <w:ind w:leftChars="0"/>
        <w:rPr>
          <w:rFonts w:asciiTheme="majorEastAsia" w:eastAsiaTheme="majorEastAsia" w:hAnsiTheme="majorEastAsia"/>
          <w:b/>
          <w:sz w:val="24"/>
        </w:rPr>
      </w:pPr>
      <w:r>
        <w:rPr>
          <w:rFonts w:asciiTheme="majorEastAsia" w:eastAsiaTheme="majorEastAsia" w:hAnsiTheme="majorEastAsia" w:hint="eastAsia"/>
          <w:b/>
          <w:sz w:val="24"/>
        </w:rPr>
        <w:t>今後の予定</w:t>
      </w:r>
    </w:p>
    <w:p w:rsidR="00C20E41" w:rsidRDefault="00C20E41" w:rsidP="0016665A">
      <w:pPr>
        <w:rPr>
          <w:sz w:val="24"/>
        </w:rPr>
      </w:pPr>
      <w:r>
        <w:rPr>
          <w:rFonts w:hint="eastAsia"/>
          <w:sz w:val="24"/>
        </w:rPr>
        <w:t xml:space="preserve">　今後は制御に</w:t>
      </w:r>
      <w:r w:rsidR="00547716">
        <w:rPr>
          <w:rFonts w:hint="eastAsia"/>
          <w:sz w:val="24"/>
        </w:rPr>
        <w:t>電気光学変調器</w:t>
      </w:r>
      <w:r w:rsidR="00547716">
        <w:rPr>
          <w:sz w:val="24"/>
        </w:rPr>
        <w:t>(</w:t>
      </w:r>
      <w:r>
        <w:rPr>
          <w:sz w:val="24"/>
        </w:rPr>
        <w:t>EOM</w:t>
      </w:r>
      <w:r w:rsidR="00547716">
        <w:rPr>
          <w:sz w:val="24"/>
        </w:rPr>
        <w:t>)</w:t>
      </w:r>
      <w:r>
        <w:rPr>
          <w:rFonts w:hint="eastAsia"/>
          <w:sz w:val="24"/>
        </w:rPr>
        <w:t>を用いる事で、</w:t>
      </w:r>
      <w:r w:rsidR="00547716">
        <w:rPr>
          <w:rFonts w:hint="eastAsia"/>
          <w:sz w:val="24"/>
        </w:rPr>
        <w:t>ひずみセンシング光コム応答周波数を</w:t>
      </w:r>
      <w:r w:rsidR="00CF1246">
        <w:rPr>
          <w:sz w:val="24"/>
        </w:rPr>
        <w:t>1MHz</w:t>
      </w:r>
      <w:r w:rsidR="00547716">
        <w:rPr>
          <w:rFonts w:hint="eastAsia"/>
          <w:sz w:val="24"/>
        </w:rPr>
        <w:t>まで高速化を目指す。さらに</w:t>
      </w:r>
      <w:r>
        <w:rPr>
          <w:rFonts w:hint="eastAsia"/>
          <w:sz w:val="24"/>
        </w:rPr>
        <w:t>、</w:t>
      </w:r>
      <w:r w:rsidR="00547716">
        <w:rPr>
          <w:rFonts w:hint="eastAsia"/>
          <w:sz w:val="24"/>
        </w:rPr>
        <w:t>応答周波数を高速化することにより、光音響イメージングの音響波センサーとして用いることを検討している。</w:t>
      </w:r>
    </w:p>
    <w:p w:rsidR="007C3AD1" w:rsidRDefault="007C3AD1" w:rsidP="0016665A">
      <w:pPr>
        <w:rPr>
          <w:sz w:val="24"/>
        </w:rPr>
      </w:pPr>
    </w:p>
    <w:p w:rsidR="0016665A" w:rsidRPr="0016665A" w:rsidRDefault="007F650F" w:rsidP="0016665A">
      <w:pPr>
        <w:rPr>
          <w:sz w:val="24"/>
        </w:rPr>
      </w:pPr>
      <w:r>
        <w:rPr>
          <w:rFonts w:hint="eastAsia"/>
          <w:sz w:val="24"/>
        </w:rPr>
        <w:t>参考文献</w:t>
      </w:r>
    </w:p>
    <w:p w:rsidR="000B731B" w:rsidRDefault="0016665A" w:rsidP="0016665A">
      <w:pPr>
        <w:rPr>
          <w:sz w:val="24"/>
        </w:rPr>
      </w:pPr>
      <w:r w:rsidRPr="0016665A">
        <w:rPr>
          <w:sz w:val="24"/>
        </w:rPr>
        <w:t>[1] Phys.Rev.Lett. 84, 5102-5105(2000)</w:t>
      </w:r>
    </w:p>
    <w:p w:rsidR="0016665A" w:rsidRPr="0016665A" w:rsidRDefault="000B731B" w:rsidP="0016665A">
      <w:pPr>
        <w:rPr>
          <w:sz w:val="24"/>
        </w:rPr>
      </w:pPr>
      <w:r>
        <w:rPr>
          <w:sz w:val="24"/>
        </w:rPr>
        <w:t xml:space="preserve">[2] </w:t>
      </w:r>
      <w:r w:rsidRPr="000B731B">
        <w:rPr>
          <w:sz w:val="24"/>
        </w:rPr>
        <w:t>Phys. Rev. Lett., 100, 013902 (2008)</w:t>
      </w:r>
    </w:p>
    <w:p w:rsidR="0016665A" w:rsidRPr="0016665A" w:rsidRDefault="000B731B" w:rsidP="0016665A">
      <w:pPr>
        <w:rPr>
          <w:sz w:val="24"/>
        </w:rPr>
      </w:pPr>
      <w:r>
        <w:rPr>
          <w:sz w:val="24"/>
        </w:rPr>
        <w:t>[3</w:t>
      </w:r>
      <w:r w:rsidR="0016665A" w:rsidRPr="0016665A">
        <w:rPr>
          <w:sz w:val="24"/>
        </w:rPr>
        <w:t>] Science 335, 1458-1462(2012).</w:t>
      </w:r>
    </w:p>
    <w:p w:rsidR="005318E6" w:rsidRDefault="005318E6" w:rsidP="001030E5">
      <w:pPr>
        <w:jc w:val="left"/>
        <w:rPr>
          <w:sz w:val="24"/>
          <w:szCs w:val="24"/>
        </w:rPr>
      </w:pPr>
    </w:p>
    <w:sectPr w:rsidR="005318E6" w:rsidSect="007C3AD1">
      <w:headerReference w:type="default" r:id="rId21"/>
      <w:footerReference w:type="default" r:id="rId22"/>
      <w:pgSz w:w="11906" w:h="16838"/>
      <w:pgMar w:top="1134" w:right="1134" w:bottom="1134" w:left="1134" w:header="851" w:footer="992" w:gutter="0"/>
      <w:cols w:space="425"/>
      <w:docGrid w:type="lines"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D2B" w:rsidRDefault="00393D2B" w:rsidP="00365314">
      <w:r>
        <w:separator/>
      </w:r>
    </w:p>
  </w:endnote>
  <w:endnote w:type="continuationSeparator" w:id="0">
    <w:p w:rsidR="00393D2B" w:rsidRDefault="00393D2B" w:rsidP="003653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ＭＳ 明朝">
    <w:panose1 w:val="02020609040205080304"/>
    <w:charset w:val="4E"/>
    <w:family w:val="auto"/>
    <w:pitch w:val="variable"/>
    <w:sig w:usb0="00000001" w:usb1="00000000" w:usb2="01000407" w:usb3="00000000" w:csb0="00020000" w:csb1="00000000"/>
  </w:font>
  <w:font w:name="Wingdings">
    <w:panose1 w:val="05000000000000000000"/>
    <w:charset w:val="02"/>
    <w:family w:val="auto"/>
    <w:pitch w:val="variable"/>
    <w:sig w:usb0="00000000" w:usb1="00000000" w:usb2="00010000" w:usb3="00000000" w:csb0="80000000" w:csb1="00000000"/>
  </w:font>
  <w:font w:name="Century">
    <w:panose1 w:val="020406040505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20B0609070205080204"/>
    <w:charset w:val="4E"/>
    <w:family w:val="auto"/>
    <w:pitch w:val="variable"/>
    <w:sig w:usb0="00000001" w:usb1="00000000" w:usb2="01000407" w:usb3="00000000" w:csb0="00020000" w:csb1="00000000"/>
  </w:font>
  <w:font w:name="ＭＳ Ｐゴシック">
    <w:panose1 w:val="020B0600070205080204"/>
    <w:charset w:val="4E"/>
    <w:family w:val="auto"/>
    <w:pitch w:val="variable"/>
    <w:sig w:usb0="00000001" w:usb1="00000000" w:usb2="01000407" w:usb3="00000000" w:csb0="00020000"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85319981"/>
      <w:docPartObj>
        <w:docPartGallery w:val="Page Numbers (Bottom of Page)"/>
        <w:docPartUnique/>
      </w:docPartObj>
    </w:sdtPr>
    <w:sdtContent>
      <w:p w:rsidR="00393D2B" w:rsidRDefault="00393D2B">
        <w:pPr>
          <w:pStyle w:val="a6"/>
          <w:jc w:val="center"/>
        </w:pPr>
        <w:fldSimple w:instr="PAGE   \* MERGEFORMAT">
          <w:r w:rsidR="00CC77E3" w:rsidRPr="00CC77E3">
            <w:rPr>
              <w:noProof/>
              <w:lang w:val="ja-JP"/>
            </w:rPr>
            <w:t>1</w:t>
          </w:r>
        </w:fldSimple>
      </w:p>
    </w:sdtContent>
  </w:sdt>
  <w:p w:rsidR="00393D2B" w:rsidRDefault="00393D2B">
    <w:pPr>
      <w:pStyle w:val="a6"/>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D2B" w:rsidRDefault="00393D2B" w:rsidP="00365314">
      <w:r>
        <w:separator/>
      </w:r>
    </w:p>
  </w:footnote>
  <w:footnote w:type="continuationSeparator" w:id="0">
    <w:p w:rsidR="00393D2B" w:rsidRDefault="00393D2B" w:rsidP="0036531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D2B" w:rsidRDefault="00393D2B" w:rsidP="007C3AD1">
    <w:pPr>
      <w:pStyle w:val="a4"/>
      <w:wordWrap w:val="0"/>
      <w:rPr>
        <w:rFonts w:asciiTheme="minorEastAsia" w:hAnsiTheme="minorEastAsia"/>
      </w:rPr>
    </w:pPr>
  </w:p>
  <w:p w:rsidR="00393D2B" w:rsidRDefault="00393D2B" w:rsidP="008329D0">
    <w:pPr>
      <w:pStyle w:val="a4"/>
      <w:wordWrap w:val="0"/>
      <w:jc w:val="right"/>
      <w:rPr>
        <w:rFonts w:asciiTheme="minorEastAsia" w:hAnsiTheme="minorEastAsia"/>
      </w:rPr>
    </w:pPr>
    <w:r>
      <w:rPr>
        <w:rFonts w:asciiTheme="minorEastAsia" w:hAnsiTheme="minorEastAsia" w:hint="eastAsia"/>
      </w:rPr>
      <w:t>201</w:t>
    </w:r>
    <w:r>
      <w:rPr>
        <w:rFonts w:asciiTheme="minorEastAsia" w:hAnsiTheme="minorEastAsia"/>
      </w:rPr>
      <w:t>5</w:t>
    </w:r>
    <w:r w:rsidRPr="007D22D9">
      <w:rPr>
        <w:rFonts w:asciiTheme="minorEastAsia" w:hAnsiTheme="minorEastAsia" w:hint="eastAsia"/>
      </w:rPr>
      <w:t>/</w:t>
    </w:r>
    <w:r>
      <w:rPr>
        <w:rFonts w:asciiTheme="minorEastAsia" w:hAnsiTheme="minorEastAsia" w:hint="eastAsia"/>
      </w:rPr>
      <w:t>9/11 前期研究報告</w:t>
    </w:r>
  </w:p>
  <w:p w:rsidR="00393D2B" w:rsidRPr="007D22D9" w:rsidRDefault="00393D2B" w:rsidP="005774AC">
    <w:pPr>
      <w:pStyle w:val="a4"/>
      <w:jc w:val="right"/>
      <w:rPr>
        <w:rFonts w:asciiTheme="minorEastAsia" w:hAnsiTheme="minorEastAsia"/>
      </w:rPr>
    </w:pPr>
    <w:r>
      <w:rPr>
        <w:rFonts w:asciiTheme="minorEastAsia" w:hAnsiTheme="minorEastAsia" w:hint="eastAsia"/>
      </w:rPr>
      <w:t>M</w:t>
    </w:r>
    <w:r>
      <w:rPr>
        <w:rFonts w:asciiTheme="minorEastAsia" w:hAnsiTheme="minorEastAsia"/>
      </w:rPr>
      <w:t>2</w:t>
    </w:r>
    <w:r w:rsidRPr="007D22D9">
      <w:rPr>
        <w:rFonts w:asciiTheme="minorEastAsia" w:hAnsiTheme="minorEastAsia" w:hint="eastAsia"/>
      </w:rPr>
      <w:t xml:space="preserve"> 小倉　隆志</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C748C"/>
    <w:multiLevelType w:val="hybridMultilevel"/>
    <w:tmpl w:val="FA3C924E"/>
    <w:lvl w:ilvl="0" w:tplc="48C06F4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1046712D"/>
    <w:multiLevelType w:val="hybridMultilevel"/>
    <w:tmpl w:val="E1840EEE"/>
    <w:lvl w:ilvl="0" w:tplc="402C2F7A">
      <w:start w:val="1"/>
      <w:numFmt w:val="decimal"/>
      <w:lvlText w:val="%1."/>
      <w:lvlJc w:val="left"/>
      <w:pPr>
        <w:ind w:left="360" w:hanging="360"/>
      </w:pPr>
      <w:rPr>
        <w:rFonts w:hint="default"/>
      </w:rPr>
    </w:lvl>
    <w:lvl w:ilvl="1" w:tplc="44A019A0">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0C1008F"/>
    <w:multiLevelType w:val="hybridMultilevel"/>
    <w:tmpl w:val="3E12BB48"/>
    <w:lvl w:ilvl="0" w:tplc="48C06F44">
      <w:start w:val="1"/>
      <w:numFmt w:val="decimal"/>
      <w:lvlText w:val="(%1)"/>
      <w:lvlJc w:val="left"/>
      <w:pPr>
        <w:ind w:left="540" w:hanging="420"/>
      </w:pPr>
      <w:rPr>
        <w:rFonts w:hint="eastAsia"/>
      </w:rPr>
    </w:lvl>
    <w:lvl w:ilvl="1" w:tplc="04090017" w:tentative="1">
      <w:start w:val="1"/>
      <w:numFmt w:val="aiueoFullWidth"/>
      <w:lvlText w:val="(%2)"/>
      <w:lvlJc w:val="left"/>
      <w:pPr>
        <w:ind w:left="960" w:hanging="420"/>
      </w:pPr>
    </w:lvl>
    <w:lvl w:ilvl="2" w:tplc="04090011" w:tentative="1">
      <w:start w:val="1"/>
      <w:numFmt w:val="decimalEnclosedCircle"/>
      <w:lvlText w:val="%3"/>
      <w:lvlJc w:val="left"/>
      <w:pPr>
        <w:ind w:left="1380" w:hanging="420"/>
      </w:pPr>
    </w:lvl>
    <w:lvl w:ilvl="3" w:tplc="0409000F" w:tentative="1">
      <w:start w:val="1"/>
      <w:numFmt w:val="decimal"/>
      <w:lvlText w:val="%4."/>
      <w:lvlJc w:val="left"/>
      <w:pPr>
        <w:ind w:left="1800" w:hanging="420"/>
      </w:pPr>
    </w:lvl>
    <w:lvl w:ilvl="4" w:tplc="04090017" w:tentative="1">
      <w:start w:val="1"/>
      <w:numFmt w:val="aiueoFullWidth"/>
      <w:lvlText w:val="(%5)"/>
      <w:lvlJc w:val="left"/>
      <w:pPr>
        <w:ind w:left="2220" w:hanging="420"/>
      </w:pPr>
    </w:lvl>
    <w:lvl w:ilvl="5" w:tplc="04090011" w:tentative="1">
      <w:start w:val="1"/>
      <w:numFmt w:val="decimalEnclosedCircle"/>
      <w:lvlText w:val="%6"/>
      <w:lvlJc w:val="left"/>
      <w:pPr>
        <w:ind w:left="2640" w:hanging="420"/>
      </w:pPr>
    </w:lvl>
    <w:lvl w:ilvl="6" w:tplc="0409000F" w:tentative="1">
      <w:start w:val="1"/>
      <w:numFmt w:val="decimal"/>
      <w:lvlText w:val="%7."/>
      <w:lvlJc w:val="left"/>
      <w:pPr>
        <w:ind w:left="3060" w:hanging="420"/>
      </w:pPr>
    </w:lvl>
    <w:lvl w:ilvl="7" w:tplc="04090017" w:tentative="1">
      <w:start w:val="1"/>
      <w:numFmt w:val="aiueoFullWidth"/>
      <w:lvlText w:val="(%8)"/>
      <w:lvlJc w:val="left"/>
      <w:pPr>
        <w:ind w:left="3480" w:hanging="420"/>
      </w:pPr>
    </w:lvl>
    <w:lvl w:ilvl="8" w:tplc="04090011" w:tentative="1">
      <w:start w:val="1"/>
      <w:numFmt w:val="decimalEnclosedCircle"/>
      <w:lvlText w:val="%9"/>
      <w:lvlJc w:val="left"/>
      <w:pPr>
        <w:ind w:left="3900" w:hanging="420"/>
      </w:pPr>
    </w:lvl>
  </w:abstractNum>
  <w:abstractNum w:abstractNumId="3">
    <w:nsid w:val="1B1F3BA8"/>
    <w:multiLevelType w:val="hybridMultilevel"/>
    <w:tmpl w:val="D51646B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1882996"/>
    <w:multiLevelType w:val="hybridMultilevel"/>
    <w:tmpl w:val="342CE2B8"/>
    <w:lvl w:ilvl="0" w:tplc="DEAA98BE">
      <w:start w:val="1"/>
      <w:numFmt w:val="decimal"/>
      <w:lvlText w:val="3.%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24840D21"/>
    <w:multiLevelType w:val="hybridMultilevel"/>
    <w:tmpl w:val="2EFE48FA"/>
    <w:lvl w:ilvl="0" w:tplc="12767F90">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28655915"/>
    <w:multiLevelType w:val="multilevel"/>
    <w:tmpl w:val="FA32DA3A"/>
    <w:lvl w:ilvl="0">
      <w:start w:val="1"/>
      <w:numFmt w:val="decimal"/>
      <w:lvlText w:val="%1."/>
      <w:lvlJc w:val="left"/>
      <w:pPr>
        <w:ind w:left="420" w:hanging="420"/>
      </w:pPr>
    </w:lvl>
    <w:lvl w:ilvl="1">
      <w:start w:val="3"/>
      <w:numFmt w:val="decimal"/>
      <w:isLgl/>
      <w:lvlText w:val="%1.%2"/>
      <w:lvlJc w:val="left"/>
      <w:pPr>
        <w:ind w:left="690" w:hanging="570"/>
      </w:pPr>
      <w:rPr>
        <w:rFonts w:hint="default"/>
      </w:rPr>
    </w:lvl>
    <w:lvl w:ilvl="2">
      <w:start w:val="1"/>
      <w:numFmt w:val="decimal"/>
      <w:isLgl/>
      <w:lvlText w:val="%1.%2.%3"/>
      <w:lvlJc w:val="left"/>
      <w:pPr>
        <w:ind w:left="96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560" w:hanging="1080"/>
      </w:pPr>
      <w:rPr>
        <w:rFonts w:hint="default"/>
      </w:rPr>
    </w:lvl>
    <w:lvl w:ilvl="5">
      <w:start w:val="1"/>
      <w:numFmt w:val="decimal"/>
      <w:isLgl/>
      <w:lvlText w:val="%1.%2.%3.%4.%5.%6"/>
      <w:lvlJc w:val="left"/>
      <w:pPr>
        <w:ind w:left="204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640" w:hanging="1800"/>
      </w:pPr>
      <w:rPr>
        <w:rFonts w:hint="default"/>
      </w:rPr>
    </w:lvl>
    <w:lvl w:ilvl="8">
      <w:start w:val="1"/>
      <w:numFmt w:val="decimal"/>
      <w:isLgl/>
      <w:lvlText w:val="%1.%2.%3.%4.%5.%6.%7.%8.%9"/>
      <w:lvlJc w:val="left"/>
      <w:pPr>
        <w:ind w:left="2760" w:hanging="1800"/>
      </w:pPr>
      <w:rPr>
        <w:rFonts w:hint="default"/>
      </w:rPr>
    </w:lvl>
  </w:abstractNum>
  <w:abstractNum w:abstractNumId="7">
    <w:nsid w:val="62FB1157"/>
    <w:multiLevelType w:val="hybridMultilevel"/>
    <w:tmpl w:val="48345F8A"/>
    <w:lvl w:ilvl="0" w:tplc="37C6257C">
      <w:start w:val="5"/>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nsid w:val="672A70E5"/>
    <w:multiLevelType w:val="hybridMultilevel"/>
    <w:tmpl w:val="EA2418CA"/>
    <w:lvl w:ilvl="0" w:tplc="07687C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6BB013B8"/>
    <w:multiLevelType w:val="hybridMultilevel"/>
    <w:tmpl w:val="4C2A7BB2"/>
    <w:lvl w:ilvl="0" w:tplc="7BFE54DA">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71D54A75"/>
    <w:multiLevelType w:val="hybridMultilevel"/>
    <w:tmpl w:val="C30E9CCA"/>
    <w:lvl w:ilvl="0" w:tplc="6CD0DCAE">
      <w:start w:val="1"/>
      <w:numFmt w:val="decimal"/>
      <w:lvlText w:val="2.%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8"/>
  </w:num>
  <w:num w:numId="3">
    <w:abstractNumId w:val="3"/>
  </w:num>
  <w:num w:numId="4">
    <w:abstractNumId w:val="9"/>
  </w:num>
  <w:num w:numId="5">
    <w:abstractNumId w:val="5"/>
  </w:num>
  <w:num w:numId="6">
    <w:abstractNumId w:val="0"/>
  </w:num>
  <w:num w:numId="7">
    <w:abstractNumId w:val="2"/>
  </w:num>
  <w:num w:numId="8">
    <w:abstractNumId w:val="6"/>
  </w:num>
  <w:num w:numId="9">
    <w:abstractNumId w:val="10"/>
  </w:num>
  <w:num w:numId="10">
    <w:abstractNumId w:val="4"/>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grammar="dirty"/>
  <w:doNotTrackMoves/>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833666"/>
    <w:rsid w:val="000021D5"/>
    <w:rsid w:val="00004B38"/>
    <w:rsid w:val="000055DD"/>
    <w:rsid w:val="0000571F"/>
    <w:rsid w:val="00007BC5"/>
    <w:rsid w:val="00015F21"/>
    <w:rsid w:val="000340BC"/>
    <w:rsid w:val="00051357"/>
    <w:rsid w:val="0005634A"/>
    <w:rsid w:val="0005667F"/>
    <w:rsid w:val="00087E1D"/>
    <w:rsid w:val="0009401D"/>
    <w:rsid w:val="000A2881"/>
    <w:rsid w:val="000A3F44"/>
    <w:rsid w:val="000A6422"/>
    <w:rsid w:val="000B41A3"/>
    <w:rsid w:val="000B612F"/>
    <w:rsid w:val="000B731B"/>
    <w:rsid w:val="000C4209"/>
    <w:rsid w:val="000C4C07"/>
    <w:rsid w:val="000D2227"/>
    <w:rsid w:val="000F20B0"/>
    <w:rsid w:val="001020FA"/>
    <w:rsid w:val="001030E5"/>
    <w:rsid w:val="00104D7C"/>
    <w:rsid w:val="001115D1"/>
    <w:rsid w:val="00113CB7"/>
    <w:rsid w:val="001144E3"/>
    <w:rsid w:val="001149D4"/>
    <w:rsid w:val="0011514C"/>
    <w:rsid w:val="00137751"/>
    <w:rsid w:val="0014775A"/>
    <w:rsid w:val="0016665A"/>
    <w:rsid w:val="00175617"/>
    <w:rsid w:val="001C2645"/>
    <w:rsid w:val="001D5120"/>
    <w:rsid w:val="001E4146"/>
    <w:rsid w:val="001F0403"/>
    <w:rsid w:val="001F1702"/>
    <w:rsid w:val="001F32D0"/>
    <w:rsid w:val="00221718"/>
    <w:rsid w:val="0022447D"/>
    <w:rsid w:val="00225A56"/>
    <w:rsid w:val="00231DB8"/>
    <w:rsid w:val="0026478C"/>
    <w:rsid w:val="002659AB"/>
    <w:rsid w:val="00271FC2"/>
    <w:rsid w:val="00277A2D"/>
    <w:rsid w:val="002A5E17"/>
    <w:rsid w:val="002D1346"/>
    <w:rsid w:val="002D2FFE"/>
    <w:rsid w:val="002E2847"/>
    <w:rsid w:val="002E3FF8"/>
    <w:rsid w:val="002E6FA4"/>
    <w:rsid w:val="002F30FE"/>
    <w:rsid w:val="00303DFB"/>
    <w:rsid w:val="00306650"/>
    <w:rsid w:val="003105D3"/>
    <w:rsid w:val="00312C09"/>
    <w:rsid w:val="00321055"/>
    <w:rsid w:val="00322C8B"/>
    <w:rsid w:val="003250F5"/>
    <w:rsid w:val="003368DB"/>
    <w:rsid w:val="00342923"/>
    <w:rsid w:val="00365314"/>
    <w:rsid w:val="003669FF"/>
    <w:rsid w:val="00375642"/>
    <w:rsid w:val="003804CF"/>
    <w:rsid w:val="003903BF"/>
    <w:rsid w:val="00393361"/>
    <w:rsid w:val="00393D2B"/>
    <w:rsid w:val="003B701E"/>
    <w:rsid w:val="003D3226"/>
    <w:rsid w:val="003D3794"/>
    <w:rsid w:val="003F0B10"/>
    <w:rsid w:val="003F71B6"/>
    <w:rsid w:val="004031A6"/>
    <w:rsid w:val="00426D29"/>
    <w:rsid w:val="00445ACE"/>
    <w:rsid w:val="00446A75"/>
    <w:rsid w:val="00446F3A"/>
    <w:rsid w:val="00452097"/>
    <w:rsid w:val="00470471"/>
    <w:rsid w:val="004735BE"/>
    <w:rsid w:val="00493787"/>
    <w:rsid w:val="004A437B"/>
    <w:rsid w:val="004B7753"/>
    <w:rsid w:val="004D4F64"/>
    <w:rsid w:val="00503058"/>
    <w:rsid w:val="00512912"/>
    <w:rsid w:val="00517166"/>
    <w:rsid w:val="00523BA2"/>
    <w:rsid w:val="005250D7"/>
    <w:rsid w:val="00530244"/>
    <w:rsid w:val="005318E6"/>
    <w:rsid w:val="00544D30"/>
    <w:rsid w:val="00547716"/>
    <w:rsid w:val="00553BFF"/>
    <w:rsid w:val="00563160"/>
    <w:rsid w:val="005774AC"/>
    <w:rsid w:val="005840BF"/>
    <w:rsid w:val="00587ADB"/>
    <w:rsid w:val="00591104"/>
    <w:rsid w:val="005953F4"/>
    <w:rsid w:val="005A5371"/>
    <w:rsid w:val="005B371D"/>
    <w:rsid w:val="005C0028"/>
    <w:rsid w:val="005C2A38"/>
    <w:rsid w:val="005C354B"/>
    <w:rsid w:val="005D59C0"/>
    <w:rsid w:val="005E1E6D"/>
    <w:rsid w:val="006024C8"/>
    <w:rsid w:val="00613A03"/>
    <w:rsid w:val="0062185A"/>
    <w:rsid w:val="00622303"/>
    <w:rsid w:val="00656F5E"/>
    <w:rsid w:val="00661A6E"/>
    <w:rsid w:val="00661D0F"/>
    <w:rsid w:val="006772B1"/>
    <w:rsid w:val="006A1522"/>
    <w:rsid w:val="006B7CBE"/>
    <w:rsid w:val="006D1A6D"/>
    <w:rsid w:val="006E5F40"/>
    <w:rsid w:val="006E6DFA"/>
    <w:rsid w:val="00702E02"/>
    <w:rsid w:val="007038C6"/>
    <w:rsid w:val="007039D1"/>
    <w:rsid w:val="007064A6"/>
    <w:rsid w:val="007341A0"/>
    <w:rsid w:val="007701EB"/>
    <w:rsid w:val="0078451C"/>
    <w:rsid w:val="0079630C"/>
    <w:rsid w:val="007B32B2"/>
    <w:rsid w:val="007B4D15"/>
    <w:rsid w:val="007C2932"/>
    <w:rsid w:val="007C3AD1"/>
    <w:rsid w:val="007C4BB6"/>
    <w:rsid w:val="007D1DAC"/>
    <w:rsid w:val="007D22D9"/>
    <w:rsid w:val="007F087A"/>
    <w:rsid w:val="007F1F41"/>
    <w:rsid w:val="007F5010"/>
    <w:rsid w:val="007F5C5A"/>
    <w:rsid w:val="007F650F"/>
    <w:rsid w:val="00803710"/>
    <w:rsid w:val="00815E85"/>
    <w:rsid w:val="008202F8"/>
    <w:rsid w:val="00830AFE"/>
    <w:rsid w:val="008329D0"/>
    <w:rsid w:val="00833666"/>
    <w:rsid w:val="00856E87"/>
    <w:rsid w:val="0086170C"/>
    <w:rsid w:val="008B0C88"/>
    <w:rsid w:val="008B51AD"/>
    <w:rsid w:val="008F1998"/>
    <w:rsid w:val="008F1BEA"/>
    <w:rsid w:val="00911B8A"/>
    <w:rsid w:val="009129AF"/>
    <w:rsid w:val="00916C9A"/>
    <w:rsid w:val="00917930"/>
    <w:rsid w:val="0093100C"/>
    <w:rsid w:val="00933646"/>
    <w:rsid w:val="0093527E"/>
    <w:rsid w:val="0095371D"/>
    <w:rsid w:val="00965043"/>
    <w:rsid w:val="009771D2"/>
    <w:rsid w:val="00990EE9"/>
    <w:rsid w:val="009D0232"/>
    <w:rsid w:val="009F5176"/>
    <w:rsid w:val="009F734F"/>
    <w:rsid w:val="009F7E9D"/>
    <w:rsid w:val="00A0074C"/>
    <w:rsid w:val="00A14592"/>
    <w:rsid w:val="00A22E9F"/>
    <w:rsid w:val="00A97D7E"/>
    <w:rsid w:val="00AA37C7"/>
    <w:rsid w:val="00AB27F1"/>
    <w:rsid w:val="00AC7E57"/>
    <w:rsid w:val="00AE01EB"/>
    <w:rsid w:val="00AF1001"/>
    <w:rsid w:val="00AF3EB0"/>
    <w:rsid w:val="00B02100"/>
    <w:rsid w:val="00B063E7"/>
    <w:rsid w:val="00B106E1"/>
    <w:rsid w:val="00B25A0E"/>
    <w:rsid w:val="00B3534B"/>
    <w:rsid w:val="00B35BC3"/>
    <w:rsid w:val="00B47C71"/>
    <w:rsid w:val="00B505E2"/>
    <w:rsid w:val="00B543A2"/>
    <w:rsid w:val="00B55816"/>
    <w:rsid w:val="00B724D6"/>
    <w:rsid w:val="00B94A66"/>
    <w:rsid w:val="00B94C06"/>
    <w:rsid w:val="00BD4D1C"/>
    <w:rsid w:val="00BD4D97"/>
    <w:rsid w:val="00BD67B9"/>
    <w:rsid w:val="00BD71F1"/>
    <w:rsid w:val="00BE4B91"/>
    <w:rsid w:val="00BE5868"/>
    <w:rsid w:val="00BE5FB2"/>
    <w:rsid w:val="00BF4BA8"/>
    <w:rsid w:val="00C121DD"/>
    <w:rsid w:val="00C20E41"/>
    <w:rsid w:val="00C2510D"/>
    <w:rsid w:val="00C35AB3"/>
    <w:rsid w:val="00C45A1F"/>
    <w:rsid w:val="00C618BA"/>
    <w:rsid w:val="00C65770"/>
    <w:rsid w:val="00C677F9"/>
    <w:rsid w:val="00C90CAF"/>
    <w:rsid w:val="00C91DAB"/>
    <w:rsid w:val="00C93F0A"/>
    <w:rsid w:val="00CA6CB9"/>
    <w:rsid w:val="00CC77E3"/>
    <w:rsid w:val="00CD21D3"/>
    <w:rsid w:val="00CD2F50"/>
    <w:rsid w:val="00CE4C45"/>
    <w:rsid w:val="00CE7EFD"/>
    <w:rsid w:val="00CF1246"/>
    <w:rsid w:val="00D14EF4"/>
    <w:rsid w:val="00D26D91"/>
    <w:rsid w:val="00D50B16"/>
    <w:rsid w:val="00D61D49"/>
    <w:rsid w:val="00D6478C"/>
    <w:rsid w:val="00D72ED7"/>
    <w:rsid w:val="00D87E73"/>
    <w:rsid w:val="00D92D28"/>
    <w:rsid w:val="00DA3F2D"/>
    <w:rsid w:val="00DA44FD"/>
    <w:rsid w:val="00DA6A7F"/>
    <w:rsid w:val="00DD0F8C"/>
    <w:rsid w:val="00DE2A5C"/>
    <w:rsid w:val="00DF6948"/>
    <w:rsid w:val="00E01F47"/>
    <w:rsid w:val="00E028ED"/>
    <w:rsid w:val="00E141DC"/>
    <w:rsid w:val="00E166C4"/>
    <w:rsid w:val="00E16925"/>
    <w:rsid w:val="00E2403E"/>
    <w:rsid w:val="00E2760B"/>
    <w:rsid w:val="00E412D1"/>
    <w:rsid w:val="00E75853"/>
    <w:rsid w:val="00E91F54"/>
    <w:rsid w:val="00E96C14"/>
    <w:rsid w:val="00EB1D1D"/>
    <w:rsid w:val="00EB7DCD"/>
    <w:rsid w:val="00EC4F87"/>
    <w:rsid w:val="00ED2066"/>
    <w:rsid w:val="00EE00BE"/>
    <w:rsid w:val="00EE4052"/>
    <w:rsid w:val="00F01FC7"/>
    <w:rsid w:val="00F265C2"/>
    <w:rsid w:val="00F41746"/>
    <w:rsid w:val="00F73621"/>
    <w:rsid w:val="00F82767"/>
    <w:rsid w:val="00FB144B"/>
    <w:rsid w:val="00FB42E0"/>
    <w:rsid w:val="00FD6380"/>
    <w:rsid w:val="00FE3150"/>
    <w:rsid w:val="00FE3C0D"/>
    <w:rsid w:val="00FE531F"/>
  </w:rsids>
  <m:mathPr>
    <m:mathFont m:val="Impact"/>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0" w:defSemiHidden="0" w:defUnhideWhenUsed="0" w:defQFormat="0" w:count="276"/>
  <w:style w:type="paragraph" w:default="1" w:styleId="a">
    <w:name w:val="Normal"/>
    <w:qFormat/>
    <w:rsid w:val="00E412D1"/>
    <w:pPr>
      <w:widowControl w:val="0"/>
      <w:jc w:val="both"/>
    </w:pPr>
  </w:style>
  <w:style w:type="paragraph" w:styleId="1">
    <w:name w:val="heading 1"/>
    <w:basedOn w:val="a"/>
    <w:next w:val="a"/>
    <w:link w:val="10"/>
    <w:uiPriority w:val="9"/>
    <w:qFormat/>
    <w:rsid w:val="002D1346"/>
    <w:pPr>
      <w:keepNext/>
      <w:outlineLvl w:val="0"/>
    </w:pPr>
    <w:rPr>
      <w:rFonts w:asciiTheme="majorHAnsi" w:eastAsiaTheme="majorEastAsia" w:hAnsiTheme="majorHAnsi" w:cstheme="majorBidi"/>
      <w:sz w:val="24"/>
      <w:szCs w:val="24"/>
    </w:rPr>
  </w:style>
  <w:style w:type="character" w:default="1" w:styleId="a0">
    <w:name w:val="Default Paragraph Font"/>
    <w:unhideWhenUsed/>
  </w:style>
  <w:style w:type="table" w:default="1" w:styleId="a1">
    <w:name w:val="Normal Table"/>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見出し 1 (文字)"/>
    <w:basedOn w:val="a0"/>
    <w:link w:val="1"/>
    <w:uiPriority w:val="9"/>
    <w:rsid w:val="002D1346"/>
    <w:rPr>
      <w:rFonts w:asciiTheme="majorHAnsi" w:eastAsiaTheme="majorEastAsia" w:hAnsiTheme="majorHAnsi" w:cstheme="majorBidi"/>
      <w:sz w:val="24"/>
      <w:szCs w:val="24"/>
    </w:rPr>
  </w:style>
  <w:style w:type="paragraph" w:styleId="a3">
    <w:name w:val="TOC Heading"/>
    <w:basedOn w:val="1"/>
    <w:next w:val="a"/>
    <w:uiPriority w:val="39"/>
    <w:semiHidden/>
    <w:unhideWhenUsed/>
    <w:qFormat/>
    <w:rsid w:val="002D1346"/>
    <w:pPr>
      <w:keepLines/>
      <w:widowControl/>
      <w:spacing w:before="480" w:line="276" w:lineRule="auto"/>
      <w:jc w:val="left"/>
      <w:outlineLvl w:val="9"/>
    </w:pPr>
    <w:rPr>
      <w:b/>
      <w:bCs/>
      <w:color w:val="365F91" w:themeColor="accent1" w:themeShade="BF"/>
      <w:kern w:val="0"/>
      <w:sz w:val="28"/>
      <w:szCs w:val="28"/>
    </w:rPr>
  </w:style>
  <w:style w:type="paragraph" w:styleId="a4">
    <w:name w:val="header"/>
    <w:basedOn w:val="a"/>
    <w:link w:val="a5"/>
    <w:uiPriority w:val="99"/>
    <w:unhideWhenUsed/>
    <w:rsid w:val="00365314"/>
    <w:pPr>
      <w:tabs>
        <w:tab w:val="center" w:pos="4252"/>
        <w:tab w:val="right" w:pos="8504"/>
      </w:tabs>
      <w:snapToGrid w:val="0"/>
    </w:pPr>
  </w:style>
  <w:style w:type="character" w:customStyle="1" w:styleId="a5">
    <w:name w:val="ヘッダー (文字)"/>
    <w:basedOn w:val="a0"/>
    <w:link w:val="a4"/>
    <w:uiPriority w:val="99"/>
    <w:rsid w:val="00365314"/>
  </w:style>
  <w:style w:type="paragraph" w:styleId="a6">
    <w:name w:val="footer"/>
    <w:basedOn w:val="a"/>
    <w:link w:val="a7"/>
    <w:uiPriority w:val="99"/>
    <w:unhideWhenUsed/>
    <w:rsid w:val="00365314"/>
    <w:pPr>
      <w:tabs>
        <w:tab w:val="center" w:pos="4252"/>
        <w:tab w:val="right" w:pos="8504"/>
      </w:tabs>
      <w:snapToGrid w:val="0"/>
    </w:pPr>
  </w:style>
  <w:style w:type="character" w:customStyle="1" w:styleId="a7">
    <w:name w:val="フッター (文字)"/>
    <w:basedOn w:val="a0"/>
    <w:link w:val="a6"/>
    <w:uiPriority w:val="99"/>
    <w:rsid w:val="00365314"/>
  </w:style>
  <w:style w:type="paragraph" w:styleId="a8">
    <w:name w:val="caption"/>
    <w:basedOn w:val="a"/>
    <w:next w:val="a"/>
    <w:uiPriority w:val="35"/>
    <w:unhideWhenUsed/>
    <w:qFormat/>
    <w:rsid w:val="00512912"/>
    <w:rPr>
      <w:b/>
      <w:bCs/>
      <w:szCs w:val="21"/>
    </w:rPr>
  </w:style>
  <w:style w:type="paragraph" w:styleId="a9">
    <w:name w:val="Balloon Text"/>
    <w:basedOn w:val="a"/>
    <w:link w:val="aa"/>
    <w:uiPriority w:val="99"/>
    <w:semiHidden/>
    <w:unhideWhenUsed/>
    <w:rsid w:val="00EE00BE"/>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E00BE"/>
    <w:rPr>
      <w:rFonts w:asciiTheme="majorHAnsi" w:eastAsiaTheme="majorEastAsia" w:hAnsiTheme="majorHAnsi" w:cstheme="majorBidi"/>
      <w:sz w:val="18"/>
      <w:szCs w:val="18"/>
    </w:rPr>
  </w:style>
  <w:style w:type="paragraph" w:styleId="ab">
    <w:name w:val="List Paragraph"/>
    <w:basedOn w:val="a"/>
    <w:uiPriority w:val="34"/>
    <w:qFormat/>
    <w:rsid w:val="001F32D0"/>
    <w:pPr>
      <w:ind w:leftChars="400" w:left="840"/>
    </w:pPr>
  </w:style>
  <w:style w:type="character" w:styleId="ac">
    <w:name w:val="Placeholder Text"/>
    <w:basedOn w:val="a0"/>
    <w:uiPriority w:val="99"/>
    <w:semiHidden/>
    <w:rsid w:val="001115D1"/>
    <w:rPr>
      <w:color w:val="808080"/>
    </w:rPr>
  </w:style>
  <w:style w:type="table" w:styleId="ad">
    <w:name w:val="Table Grid"/>
    <w:basedOn w:val="a1"/>
    <w:uiPriority w:val="59"/>
    <w:rsid w:val="007038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Web">
    <w:name w:val="Normal (Web)"/>
    <w:basedOn w:val="a"/>
    <w:uiPriority w:val="99"/>
    <w:semiHidden/>
    <w:unhideWhenUsed/>
    <w:rsid w:val="0056316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Body Text"/>
    <w:basedOn w:val="a"/>
    <w:link w:val="af"/>
    <w:uiPriority w:val="99"/>
    <w:semiHidden/>
    <w:unhideWhenUsed/>
    <w:rsid w:val="00EB1D1D"/>
  </w:style>
  <w:style w:type="character" w:customStyle="1" w:styleId="af">
    <w:name w:val="本文 (文字)"/>
    <w:basedOn w:val="a0"/>
    <w:link w:val="ae"/>
    <w:uiPriority w:val="99"/>
    <w:semiHidden/>
    <w:rsid w:val="00EB1D1D"/>
  </w:style>
</w:styles>
</file>

<file path=word/webSettings.xml><?xml version="1.0" encoding="utf-8"?>
<w:webSettings xmlns:r="http://schemas.openxmlformats.org/officeDocument/2006/relationships" xmlns:w="http://schemas.openxmlformats.org/wordprocessingml/2006/main">
  <w:divs>
    <w:div w:id="292248374">
      <w:bodyDiv w:val="1"/>
      <w:marLeft w:val="0"/>
      <w:marRight w:val="0"/>
      <w:marTop w:val="0"/>
      <w:marBottom w:val="0"/>
      <w:divBdr>
        <w:top w:val="none" w:sz="0" w:space="0" w:color="auto"/>
        <w:left w:val="none" w:sz="0" w:space="0" w:color="auto"/>
        <w:bottom w:val="none" w:sz="0" w:space="0" w:color="auto"/>
        <w:right w:val="none" w:sz="0" w:space="0" w:color="auto"/>
      </w:divBdr>
    </w:div>
    <w:div w:id="370571862">
      <w:bodyDiv w:val="1"/>
      <w:marLeft w:val="0"/>
      <w:marRight w:val="0"/>
      <w:marTop w:val="0"/>
      <w:marBottom w:val="0"/>
      <w:divBdr>
        <w:top w:val="none" w:sz="0" w:space="0" w:color="auto"/>
        <w:left w:val="none" w:sz="0" w:space="0" w:color="auto"/>
        <w:bottom w:val="none" w:sz="0" w:space="0" w:color="auto"/>
        <w:right w:val="none" w:sz="0" w:space="0" w:color="auto"/>
      </w:divBdr>
      <w:divsChild>
        <w:div w:id="1494566116">
          <w:marLeft w:val="0"/>
          <w:marRight w:val="0"/>
          <w:marTop w:val="0"/>
          <w:marBottom w:val="0"/>
          <w:divBdr>
            <w:top w:val="none" w:sz="0" w:space="0" w:color="auto"/>
            <w:left w:val="none" w:sz="0" w:space="0" w:color="auto"/>
            <w:bottom w:val="none" w:sz="0" w:space="0" w:color="auto"/>
            <w:right w:val="none" w:sz="0" w:space="0" w:color="auto"/>
          </w:divBdr>
          <w:divsChild>
            <w:div w:id="1895114241">
              <w:marLeft w:val="0"/>
              <w:marRight w:val="0"/>
              <w:marTop w:val="0"/>
              <w:marBottom w:val="0"/>
              <w:divBdr>
                <w:top w:val="none" w:sz="0" w:space="0" w:color="auto"/>
                <w:left w:val="none" w:sz="0" w:space="0" w:color="auto"/>
                <w:bottom w:val="none" w:sz="0" w:space="0" w:color="auto"/>
                <w:right w:val="none" w:sz="0" w:space="0" w:color="auto"/>
              </w:divBdr>
              <w:divsChild>
                <w:div w:id="114839097">
                  <w:marLeft w:val="0"/>
                  <w:marRight w:val="0"/>
                  <w:marTop w:val="0"/>
                  <w:marBottom w:val="0"/>
                  <w:divBdr>
                    <w:top w:val="none" w:sz="0" w:space="0" w:color="auto"/>
                    <w:left w:val="none" w:sz="0" w:space="0" w:color="auto"/>
                    <w:bottom w:val="none" w:sz="0" w:space="0" w:color="auto"/>
                    <w:right w:val="none" w:sz="0" w:space="0" w:color="auto"/>
                  </w:divBdr>
                  <w:divsChild>
                    <w:div w:id="251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6825179">
      <w:bodyDiv w:val="1"/>
      <w:marLeft w:val="0"/>
      <w:marRight w:val="0"/>
      <w:marTop w:val="0"/>
      <w:marBottom w:val="0"/>
      <w:divBdr>
        <w:top w:val="none" w:sz="0" w:space="0" w:color="auto"/>
        <w:left w:val="none" w:sz="0" w:space="0" w:color="auto"/>
        <w:bottom w:val="none" w:sz="0" w:space="0" w:color="auto"/>
        <w:right w:val="none" w:sz="0" w:space="0" w:color="auto"/>
      </w:divBdr>
    </w:div>
    <w:div w:id="419300693">
      <w:bodyDiv w:val="1"/>
      <w:marLeft w:val="0"/>
      <w:marRight w:val="0"/>
      <w:marTop w:val="0"/>
      <w:marBottom w:val="0"/>
      <w:divBdr>
        <w:top w:val="none" w:sz="0" w:space="0" w:color="auto"/>
        <w:left w:val="none" w:sz="0" w:space="0" w:color="auto"/>
        <w:bottom w:val="none" w:sz="0" w:space="0" w:color="auto"/>
        <w:right w:val="none" w:sz="0" w:space="0" w:color="auto"/>
      </w:divBdr>
    </w:div>
    <w:div w:id="774985215">
      <w:bodyDiv w:val="1"/>
      <w:marLeft w:val="0"/>
      <w:marRight w:val="0"/>
      <w:marTop w:val="0"/>
      <w:marBottom w:val="0"/>
      <w:divBdr>
        <w:top w:val="none" w:sz="0" w:space="0" w:color="auto"/>
        <w:left w:val="none" w:sz="0" w:space="0" w:color="auto"/>
        <w:bottom w:val="none" w:sz="0" w:space="0" w:color="auto"/>
        <w:right w:val="none" w:sz="0" w:space="0" w:color="auto"/>
      </w:divBdr>
    </w:div>
    <w:div w:id="851915890">
      <w:bodyDiv w:val="1"/>
      <w:marLeft w:val="0"/>
      <w:marRight w:val="0"/>
      <w:marTop w:val="0"/>
      <w:marBottom w:val="0"/>
      <w:divBdr>
        <w:top w:val="none" w:sz="0" w:space="0" w:color="auto"/>
        <w:left w:val="none" w:sz="0" w:space="0" w:color="auto"/>
        <w:bottom w:val="none" w:sz="0" w:space="0" w:color="auto"/>
        <w:right w:val="none" w:sz="0" w:space="0" w:color="auto"/>
      </w:divBdr>
    </w:div>
    <w:div w:id="1269772107">
      <w:bodyDiv w:val="1"/>
      <w:marLeft w:val="0"/>
      <w:marRight w:val="0"/>
      <w:marTop w:val="0"/>
      <w:marBottom w:val="0"/>
      <w:divBdr>
        <w:top w:val="none" w:sz="0" w:space="0" w:color="auto"/>
        <w:left w:val="none" w:sz="0" w:space="0" w:color="auto"/>
        <w:bottom w:val="none" w:sz="0" w:space="0" w:color="auto"/>
        <w:right w:val="none" w:sz="0" w:space="0" w:color="auto"/>
      </w:divBdr>
    </w:div>
    <w:div w:id="1403219392">
      <w:bodyDiv w:val="1"/>
      <w:marLeft w:val="0"/>
      <w:marRight w:val="0"/>
      <w:marTop w:val="0"/>
      <w:marBottom w:val="0"/>
      <w:divBdr>
        <w:top w:val="none" w:sz="0" w:space="0" w:color="auto"/>
        <w:left w:val="none" w:sz="0" w:space="0" w:color="auto"/>
        <w:bottom w:val="none" w:sz="0" w:space="0" w:color="auto"/>
        <w:right w:val="none" w:sz="0" w:space="0" w:color="auto"/>
      </w:divBdr>
    </w:div>
    <w:div w:id="1442185820">
      <w:bodyDiv w:val="1"/>
      <w:marLeft w:val="0"/>
      <w:marRight w:val="0"/>
      <w:marTop w:val="0"/>
      <w:marBottom w:val="0"/>
      <w:divBdr>
        <w:top w:val="none" w:sz="0" w:space="0" w:color="auto"/>
        <w:left w:val="none" w:sz="0" w:space="0" w:color="auto"/>
        <w:bottom w:val="none" w:sz="0" w:space="0" w:color="auto"/>
        <w:right w:val="none" w:sz="0" w:space="0" w:color="auto"/>
      </w:divBdr>
      <w:divsChild>
        <w:div w:id="1552692624">
          <w:marLeft w:val="0"/>
          <w:marRight w:val="0"/>
          <w:marTop w:val="0"/>
          <w:marBottom w:val="0"/>
          <w:divBdr>
            <w:top w:val="none" w:sz="0" w:space="0" w:color="auto"/>
            <w:left w:val="none" w:sz="0" w:space="0" w:color="auto"/>
            <w:bottom w:val="none" w:sz="0" w:space="0" w:color="auto"/>
            <w:right w:val="none" w:sz="0" w:space="0" w:color="auto"/>
          </w:divBdr>
          <w:divsChild>
            <w:div w:id="1476875391">
              <w:marLeft w:val="0"/>
              <w:marRight w:val="0"/>
              <w:marTop w:val="0"/>
              <w:marBottom w:val="0"/>
              <w:divBdr>
                <w:top w:val="none" w:sz="0" w:space="0" w:color="auto"/>
                <w:left w:val="none" w:sz="0" w:space="0" w:color="auto"/>
                <w:bottom w:val="none" w:sz="0" w:space="0" w:color="auto"/>
                <w:right w:val="none" w:sz="0" w:space="0" w:color="auto"/>
              </w:divBdr>
              <w:divsChild>
                <w:div w:id="1070344107">
                  <w:marLeft w:val="0"/>
                  <w:marRight w:val="0"/>
                  <w:marTop w:val="0"/>
                  <w:marBottom w:val="0"/>
                  <w:divBdr>
                    <w:top w:val="none" w:sz="0" w:space="0" w:color="auto"/>
                    <w:left w:val="none" w:sz="0" w:space="0" w:color="auto"/>
                    <w:bottom w:val="none" w:sz="0" w:space="0" w:color="auto"/>
                    <w:right w:val="none" w:sz="0" w:space="0" w:color="auto"/>
                  </w:divBdr>
                  <w:divsChild>
                    <w:div w:id="79056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320484">
      <w:bodyDiv w:val="1"/>
      <w:marLeft w:val="0"/>
      <w:marRight w:val="0"/>
      <w:marTop w:val="0"/>
      <w:marBottom w:val="0"/>
      <w:divBdr>
        <w:top w:val="none" w:sz="0" w:space="0" w:color="auto"/>
        <w:left w:val="none" w:sz="0" w:space="0" w:color="auto"/>
        <w:bottom w:val="none" w:sz="0" w:space="0" w:color="auto"/>
        <w:right w:val="none" w:sz="0" w:space="0" w:color="auto"/>
      </w:divBdr>
    </w:div>
    <w:div w:id="1648054072">
      <w:bodyDiv w:val="1"/>
      <w:marLeft w:val="0"/>
      <w:marRight w:val="0"/>
      <w:marTop w:val="0"/>
      <w:marBottom w:val="0"/>
      <w:divBdr>
        <w:top w:val="none" w:sz="0" w:space="0" w:color="auto"/>
        <w:left w:val="none" w:sz="0" w:space="0" w:color="auto"/>
        <w:bottom w:val="none" w:sz="0" w:space="0" w:color="auto"/>
        <w:right w:val="none" w:sz="0" w:space="0" w:color="auto"/>
      </w:divBdr>
    </w:div>
    <w:div w:id="1687367098">
      <w:bodyDiv w:val="1"/>
      <w:marLeft w:val="0"/>
      <w:marRight w:val="0"/>
      <w:marTop w:val="0"/>
      <w:marBottom w:val="0"/>
      <w:divBdr>
        <w:top w:val="none" w:sz="0" w:space="0" w:color="auto"/>
        <w:left w:val="none" w:sz="0" w:space="0" w:color="auto"/>
        <w:bottom w:val="none" w:sz="0" w:space="0" w:color="auto"/>
        <w:right w:val="none" w:sz="0" w:space="0" w:color="auto"/>
      </w:divBdr>
    </w:div>
    <w:div w:id="1878080344">
      <w:bodyDiv w:val="1"/>
      <w:marLeft w:val="0"/>
      <w:marRight w:val="0"/>
      <w:marTop w:val="0"/>
      <w:marBottom w:val="0"/>
      <w:divBdr>
        <w:top w:val="none" w:sz="0" w:space="0" w:color="auto"/>
        <w:left w:val="none" w:sz="0" w:space="0" w:color="auto"/>
        <w:bottom w:val="none" w:sz="0" w:space="0" w:color="auto"/>
        <w:right w:val="none" w:sz="0" w:space="0" w:color="auto"/>
      </w:divBdr>
    </w:div>
    <w:div w:id="1962225897">
      <w:bodyDiv w:val="1"/>
      <w:marLeft w:val="0"/>
      <w:marRight w:val="0"/>
      <w:marTop w:val="0"/>
      <w:marBottom w:val="0"/>
      <w:divBdr>
        <w:top w:val="none" w:sz="0" w:space="0" w:color="auto"/>
        <w:left w:val="none" w:sz="0" w:space="0" w:color="auto"/>
        <w:bottom w:val="none" w:sz="0" w:space="0" w:color="auto"/>
        <w:right w:val="none" w:sz="0" w:space="0" w:color="auto"/>
      </w:divBdr>
    </w:div>
    <w:div w:id="2060788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header" Target="header1.xml"/><Relationship Id="rId22" Type="http://schemas.openxmlformats.org/officeDocument/2006/relationships/footer" Target="footer1.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df"/><Relationship Id="rId19" Type="http://schemas.openxmlformats.org/officeDocument/2006/relationships/image" Target="media/image1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7</Pages>
  <Words>400</Words>
  <Characters>2285</Characters>
  <Application>Microsoft Macintosh Word</Application>
  <DocSecurity>0</DocSecurity>
  <Lines>19</Lines>
  <Paragraphs>4</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2806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yasui</cp:lastModifiedBy>
  <cp:revision>4</cp:revision>
  <cp:lastPrinted>2015-03-31T10:06:00Z</cp:lastPrinted>
  <dcterms:created xsi:type="dcterms:W3CDTF">2015-09-10T17:45:00Z</dcterms:created>
  <dcterms:modified xsi:type="dcterms:W3CDTF">2015-09-10T23:52:00Z</dcterms:modified>
</cp:coreProperties>
</file>